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Layout w:type="fixed"/>
        <w:tblLook w:val="0000"/>
      </w:tblPr>
      <w:tblGrid>
        <w:gridCol w:w="3402"/>
        <w:gridCol w:w="5837"/>
      </w:tblGrid>
      <w:tr w:rsidR="000964C4" w:rsidRPr="00EE15ED" w:rsidTr="000964C4">
        <w:trPr>
          <w:trHeight w:val="276"/>
          <w:jc w:val="center"/>
        </w:trPr>
        <w:tc>
          <w:tcPr>
            <w:tcW w:w="3402" w:type="dxa"/>
            <w:vMerge w:val="restart"/>
          </w:tcPr>
          <w:p w:rsidR="000964C4" w:rsidRPr="00EE15ED" w:rsidRDefault="00A27F5E" w:rsidP="00DE2616">
            <w:pPr>
              <w:spacing w:before="0" w:after="0"/>
              <w:jc w:val="center"/>
              <w:rPr>
                <w:rFonts w:eastAsia="Times New Roman"/>
                <w:b/>
                <w:bCs/>
                <w:sz w:val="24"/>
                <w:szCs w:val="24"/>
                <w:lang w:val="nl-NL"/>
              </w:rPr>
            </w:pPr>
            <w:r w:rsidRPr="00EE15ED">
              <w:rPr>
                <w:rFonts w:eastAsia="Times New Roman"/>
                <w:b/>
                <w:bCs/>
                <w:sz w:val="26"/>
                <w:szCs w:val="26"/>
                <w:lang w:val="nl-NL"/>
              </w:rPr>
              <w:t>BỘ TÀI CHÍNH</w:t>
            </w:r>
          </w:p>
          <w:p w:rsidR="000964C4" w:rsidRPr="00EE15ED" w:rsidRDefault="000964C4" w:rsidP="00DE2616">
            <w:pPr>
              <w:spacing w:before="0" w:after="0"/>
              <w:jc w:val="center"/>
              <w:rPr>
                <w:rFonts w:eastAsia="Times New Roman"/>
                <w:sz w:val="16"/>
                <w:szCs w:val="16"/>
                <w:lang w:val="nl-NL"/>
              </w:rPr>
            </w:pPr>
            <w:r w:rsidRPr="00EE15ED">
              <w:rPr>
                <w:rFonts w:ascii=".VnFree" w:eastAsia="Times New Roman" w:hAnsi=".VnFree"/>
                <w:sz w:val="16"/>
                <w:szCs w:val="16"/>
                <w:lang w:val="nl-NL"/>
              </w:rPr>
              <w:t>------------------</w:t>
            </w:r>
          </w:p>
          <w:p w:rsidR="000964C4" w:rsidRPr="00EE15ED" w:rsidRDefault="000964C4" w:rsidP="00DE2616">
            <w:pPr>
              <w:spacing w:before="0" w:after="0"/>
              <w:jc w:val="center"/>
              <w:rPr>
                <w:rFonts w:eastAsia="Times New Roman"/>
                <w:sz w:val="26"/>
                <w:szCs w:val="24"/>
                <w:lang w:val="nl-NL"/>
              </w:rPr>
            </w:pPr>
          </w:p>
          <w:p w:rsidR="000964C4" w:rsidRPr="00EE15ED" w:rsidRDefault="000964C4" w:rsidP="00DE2616">
            <w:pPr>
              <w:spacing w:before="0" w:after="0"/>
              <w:jc w:val="center"/>
              <w:rPr>
                <w:rFonts w:eastAsia="Times New Roman"/>
                <w:sz w:val="24"/>
                <w:szCs w:val="24"/>
                <w:lang w:val="nl-NL"/>
              </w:rPr>
            </w:pPr>
            <w:r w:rsidRPr="00EE15ED">
              <w:rPr>
                <w:rFonts w:eastAsia="Times New Roman"/>
                <w:sz w:val="26"/>
                <w:szCs w:val="24"/>
                <w:lang w:val="nl-NL"/>
              </w:rPr>
              <w:t>Số:</w:t>
            </w:r>
            <w:r w:rsidR="00CF1409" w:rsidRPr="00EE15ED">
              <w:rPr>
                <w:rFonts w:eastAsia="Times New Roman"/>
                <w:sz w:val="26"/>
                <w:szCs w:val="24"/>
                <w:lang w:val="nl-NL"/>
              </w:rPr>
              <w:t xml:space="preserve"> </w:t>
            </w:r>
            <w:r w:rsidR="00E5182B" w:rsidRPr="00EE15ED">
              <w:rPr>
                <w:rFonts w:eastAsia="Times New Roman"/>
                <w:sz w:val="26"/>
                <w:szCs w:val="24"/>
                <w:lang w:val="nl-NL"/>
              </w:rPr>
              <w:t xml:space="preserve">     </w:t>
            </w:r>
            <w:r w:rsidRPr="00EE15ED">
              <w:rPr>
                <w:rFonts w:eastAsia="Times New Roman"/>
                <w:sz w:val="26"/>
                <w:szCs w:val="24"/>
                <w:lang w:val="nl-NL"/>
              </w:rPr>
              <w:t>/</w:t>
            </w:r>
            <w:r w:rsidR="00714BA8" w:rsidRPr="00EE15ED">
              <w:rPr>
                <w:rFonts w:eastAsia="Times New Roman"/>
                <w:sz w:val="26"/>
                <w:szCs w:val="24"/>
                <w:lang w:val="nl-NL"/>
              </w:rPr>
              <w:t>TTr-</w:t>
            </w:r>
            <w:r w:rsidR="00CB2DF6" w:rsidRPr="00EE15ED">
              <w:rPr>
                <w:rFonts w:eastAsia="Times New Roman"/>
                <w:sz w:val="26"/>
                <w:szCs w:val="24"/>
                <w:lang w:val="nl-NL"/>
              </w:rPr>
              <w:t>BTC</w:t>
            </w:r>
          </w:p>
          <w:p w:rsidR="000964C4" w:rsidRPr="00EE15ED" w:rsidRDefault="000964C4" w:rsidP="00CA147C">
            <w:pPr>
              <w:spacing w:before="0" w:after="0"/>
              <w:jc w:val="both"/>
              <w:rPr>
                <w:rFonts w:eastAsia="Times New Roman"/>
                <w:b/>
                <w:bCs/>
                <w:sz w:val="24"/>
                <w:szCs w:val="24"/>
                <w:lang w:val="nl-NL"/>
              </w:rPr>
            </w:pPr>
          </w:p>
        </w:tc>
        <w:tc>
          <w:tcPr>
            <w:tcW w:w="5837" w:type="dxa"/>
            <w:vMerge w:val="restart"/>
          </w:tcPr>
          <w:p w:rsidR="000964C4" w:rsidRPr="00EE15ED" w:rsidRDefault="000964C4" w:rsidP="00DE2616">
            <w:pPr>
              <w:spacing w:before="0" w:after="0"/>
              <w:jc w:val="center"/>
              <w:rPr>
                <w:rFonts w:eastAsia="Times New Roman"/>
                <w:b/>
                <w:bCs/>
                <w:sz w:val="26"/>
                <w:szCs w:val="26"/>
                <w:lang w:val="nl-NL"/>
              </w:rPr>
            </w:pPr>
            <w:r w:rsidRPr="00EE15ED">
              <w:rPr>
                <w:rFonts w:eastAsia="Times New Roman"/>
                <w:b/>
                <w:bCs/>
                <w:sz w:val="26"/>
                <w:szCs w:val="26"/>
                <w:lang w:val="nl-NL"/>
              </w:rPr>
              <w:t>CỘNG HOÀ XÃ HỘI CHỦ NGHĨA VIỆT NAM</w:t>
            </w:r>
          </w:p>
          <w:p w:rsidR="000964C4" w:rsidRPr="00EE15ED" w:rsidRDefault="000964C4" w:rsidP="00DE2616">
            <w:pPr>
              <w:spacing w:before="0" w:after="0"/>
              <w:jc w:val="center"/>
              <w:rPr>
                <w:rFonts w:eastAsia="Times New Roman"/>
                <w:b/>
                <w:szCs w:val="28"/>
                <w:lang w:val="nl-NL"/>
              </w:rPr>
            </w:pPr>
            <w:r w:rsidRPr="00EE15ED">
              <w:rPr>
                <w:rFonts w:eastAsia="Times New Roman"/>
                <w:b/>
                <w:szCs w:val="28"/>
                <w:lang w:val="nl-NL"/>
              </w:rPr>
              <w:t>Độc lập – Tự do – Hạnh phúc</w:t>
            </w:r>
          </w:p>
          <w:p w:rsidR="000964C4" w:rsidRPr="00EE15ED" w:rsidRDefault="000964C4" w:rsidP="00DE2616">
            <w:pPr>
              <w:spacing w:before="0" w:after="0"/>
              <w:jc w:val="center"/>
              <w:rPr>
                <w:rFonts w:ascii=".VnFree" w:eastAsia="Times New Roman" w:hAnsi=".VnFree"/>
                <w:sz w:val="16"/>
                <w:szCs w:val="16"/>
                <w:lang w:val="nl-NL"/>
              </w:rPr>
            </w:pPr>
            <w:r w:rsidRPr="00EE15ED">
              <w:rPr>
                <w:rFonts w:ascii=".VnFree" w:eastAsia="Times New Roman" w:hAnsi=".VnFree"/>
                <w:sz w:val="16"/>
                <w:szCs w:val="16"/>
                <w:lang w:val="nl-NL"/>
              </w:rPr>
              <w:t>----------------------------------------------------------------------------------</w:t>
            </w:r>
          </w:p>
          <w:p w:rsidR="000964C4" w:rsidRPr="00EE15ED" w:rsidRDefault="000964C4" w:rsidP="00E5182B">
            <w:pPr>
              <w:keepNext/>
              <w:spacing w:before="0" w:after="0"/>
              <w:jc w:val="center"/>
              <w:outlineLvl w:val="0"/>
              <w:rPr>
                <w:rFonts w:eastAsia="Times New Roman"/>
                <w:b/>
                <w:bCs/>
                <w:sz w:val="26"/>
                <w:szCs w:val="26"/>
                <w:lang w:val="nl-NL"/>
              </w:rPr>
            </w:pPr>
            <w:r w:rsidRPr="00EE15ED">
              <w:rPr>
                <w:rFonts w:eastAsia="Times New Roman"/>
                <w:i/>
                <w:szCs w:val="28"/>
                <w:lang w:val="nl-NL"/>
              </w:rPr>
              <w:t xml:space="preserve">Hà Nội, ngày </w:t>
            </w:r>
            <w:r w:rsidR="00E5182B" w:rsidRPr="00EE15ED">
              <w:rPr>
                <w:rFonts w:eastAsia="Times New Roman"/>
                <w:i/>
                <w:szCs w:val="28"/>
                <w:lang w:val="nl-NL"/>
              </w:rPr>
              <w:t xml:space="preserve">   </w:t>
            </w:r>
            <w:r w:rsidR="00EA30F3" w:rsidRPr="00EE15ED">
              <w:rPr>
                <w:rFonts w:eastAsia="Times New Roman"/>
                <w:i/>
                <w:szCs w:val="28"/>
                <w:lang w:val="nl-NL"/>
              </w:rPr>
              <w:t xml:space="preserve"> </w:t>
            </w:r>
            <w:r w:rsidRPr="00EE15ED">
              <w:rPr>
                <w:rFonts w:eastAsia="Times New Roman"/>
                <w:i/>
                <w:szCs w:val="28"/>
                <w:lang w:val="nl-NL"/>
              </w:rPr>
              <w:t xml:space="preserve"> tháng</w:t>
            </w:r>
            <w:r w:rsidR="00F935C4" w:rsidRPr="00EE15ED">
              <w:rPr>
                <w:rFonts w:eastAsia="Times New Roman"/>
                <w:i/>
                <w:szCs w:val="28"/>
                <w:lang w:val="nl-NL"/>
              </w:rPr>
              <w:t xml:space="preserve"> </w:t>
            </w:r>
            <w:r w:rsidR="00AE0A9E" w:rsidRPr="00EE15ED">
              <w:rPr>
                <w:rFonts w:eastAsia="Times New Roman"/>
                <w:i/>
                <w:szCs w:val="28"/>
                <w:lang w:val="nl-NL"/>
              </w:rPr>
              <w:t xml:space="preserve"> </w:t>
            </w:r>
            <w:r w:rsidR="00E5182B" w:rsidRPr="00EE15ED">
              <w:rPr>
                <w:rFonts w:eastAsia="Times New Roman"/>
                <w:i/>
                <w:szCs w:val="28"/>
                <w:lang w:val="nl-NL"/>
              </w:rPr>
              <w:t xml:space="preserve"> </w:t>
            </w:r>
            <w:r w:rsidR="00E81CD6" w:rsidRPr="00EE15ED">
              <w:rPr>
                <w:rFonts w:eastAsia="Times New Roman"/>
                <w:i/>
                <w:szCs w:val="28"/>
                <w:lang w:val="nl-NL"/>
              </w:rPr>
              <w:t xml:space="preserve"> </w:t>
            </w:r>
            <w:r w:rsidR="00EA30F3" w:rsidRPr="00EE15ED">
              <w:rPr>
                <w:rFonts w:eastAsia="Times New Roman"/>
                <w:i/>
                <w:szCs w:val="28"/>
                <w:lang w:val="nl-NL"/>
              </w:rPr>
              <w:t xml:space="preserve"> </w:t>
            </w:r>
            <w:r w:rsidRPr="00EE15ED">
              <w:rPr>
                <w:rFonts w:eastAsia="Times New Roman"/>
                <w:i/>
                <w:szCs w:val="28"/>
                <w:lang w:val="nl-NL"/>
              </w:rPr>
              <w:t xml:space="preserve">năm </w:t>
            </w:r>
            <w:r w:rsidR="00AE0A9E" w:rsidRPr="00EE15ED">
              <w:rPr>
                <w:rFonts w:eastAsia="Times New Roman"/>
                <w:i/>
                <w:szCs w:val="28"/>
                <w:lang w:val="nl-NL"/>
              </w:rPr>
              <w:t>202</w:t>
            </w:r>
            <w:r w:rsidR="00E5182B" w:rsidRPr="00EE15ED">
              <w:rPr>
                <w:rFonts w:eastAsia="Times New Roman"/>
                <w:i/>
                <w:szCs w:val="28"/>
                <w:lang w:val="nl-NL"/>
              </w:rPr>
              <w:t>4</w:t>
            </w:r>
          </w:p>
        </w:tc>
      </w:tr>
      <w:tr w:rsidR="000964C4" w:rsidRPr="00EE15ED" w:rsidTr="000964C4">
        <w:trPr>
          <w:trHeight w:val="184"/>
          <w:jc w:val="center"/>
        </w:trPr>
        <w:tc>
          <w:tcPr>
            <w:tcW w:w="3402" w:type="dxa"/>
            <w:vMerge/>
          </w:tcPr>
          <w:p w:rsidR="000964C4" w:rsidRPr="00EE15ED" w:rsidRDefault="000964C4" w:rsidP="005270A8">
            <w:pPr>
              <w:spacing w:before="0" w:after="0"/>
              <w:jc w:val="both"/>
              <w:rPr>
                <w:rFonts w:eastAsia="Times New Roman"/>
                <w:sz w:val="16"/>
                <w:szCs w:val="16"/>
                <w:lang w:val="nl-NL"/>
              </w:rPr>
            </w:pPr>
          </w:p>
        </w:tc>
        <w:tc>
          <w:tcPr>
            <w:tcW w:w="5837" w:type="dxa"/>
            <w:vMerge/>
          </w:tcPr>
          <w:p w:rsidR="000964C4" w:rsidRPr="00EE15ED" w:rsidRDefault="000964C4" w:rsidP="005270A8">
            <w:pPr>
              <w:keepNext/>
              <w:spacing w:before="0" w:after="0"/>
              <w:jc w:val="center"/>
              <w:outlineLvl w:val="0"/>
              <w:rPr>
                <w:rFonts w:eastAsia="Times New Roman"/>
                <w:b/>
                <w:szCs w:val="28"/>
                <w:lang w:val="nl-NL"/>
              </w:rPr>
            </w:pPr>
          </w:p>
        </w:tc>
      </w:tr>
      <w:tr w:rsidR="000964C4" w:rsidRPr="00EE15ED" w:rsidTr="000964C4">
        <w:trPr>
          <w:trHeight w:val="299"/>
          <w:jc w:val="center"/>
        </w:trPr>
        <w:tc>
          <w:tcPr>
            <w:tcW w:w="3402" w:type="dxa"/>
            <w:vMerge/>
          </w:tcPr>
          <w:p w:rsidR="000964C4" w:rsidRPr="00EE15ED" w:rsidRDefault="000964C4" w:rsidP="005270A8">
            <w:pPr>
              <w:spacing w:before="0" w:after="0"/>
              <w:jc w:val="both"/>
              <w:rPr>
                <w:rFonts w:eastAsia="Times New Roman"/>
                <w:sz w:val="26"/>
                <w:szCs w:val="24"/>
                <w:lang w:val="nl-NL"/>
              </w:rPr>
            </w:pPr>
          </w:p>
        </w:tc>
        <w:tc>
          <w:tcPr>
            <w:tcW w:w="5837" w:type="dxa"/>
            <w:vMerge/>
          </w:tcPr>
          <w:p w:rsidR="000964C4" w:rsidRPr="00EE15ED" w:rsidRDefault="000964C4" w:rsidP="005270A8">
            <w:pPr>
              <w:keepNext/>
              <w:spacing w:before="0" w:after="0"/>
              <w:jc w:val="center"/>
              <w:outlineLvl w:val="0"/>
              <w:rPr>
                <w:rFonts w:ascii=".VnFree" w:eastAsia="Times New Roman" w:hAnsi=".VnFree"/>
                <w:sz w:val="16"/>
                <w:szCs w:val="16"/>
                <w:lang w:val="nl-NL"/>
              </w:rPr>
            </w:pPr>
          </w:p>
        </w:tc>
      </w:tr>
      <w:tr w:rsidR="000964C4" w:rsidRPr="00EE15ED" w:rsidTr="000964C4">
        <w:trPr>
          <w:trHeight w:val="362"/>
          <w:jc w:val="center"/>
        </w:trPr>
        <w:tc>
          <w:tcPr>
            <w:tcW w:w="3402" w:type="dxa"/>
            <w:vMerge/>
          </w:tcPr>
          <w:p w:rsidR="000964C4" w:rsidRPr="00EE15ED" w:rsidRDefault="000964C4" w:rsidP="005270A8">
            <w:pPr>
              <w:spacing w:before="0" w:after="0"/>
              <w:jc w:val="both"/>
              <w:rPr>
                <w:rFonts w:eastAsia="Times New Roman"/>
                <w:sz w:val="22"/>
                <w:lang w:val="pt-BR"/>
              </w:rPr>
            </w:pPr>
          </w:p>
        </w:tc>
        <w:tc>
          <w:tcPr>
            <w:tcW w:w="5837" w:type="dxa"/>
            <w:vMerge/>
          </w:tcPr>
          <w:p w:rsidR="000964C4" w:rsidRPr="00EE15ED" w:rsidRDefault="000964C4" w:rsidP="005270A8">
            <w:pPr>
              <w:keepNext/>
              <w:spacing w:before="0" w:after="0"/>
              <w:jc w:val="center"/>
              <w:outlineLvl w:val="0"/>
              <w:rPr>
                <w:rFonts w:eastAsia="Times New Roman"/>
                <w:i/>
                <w:szCs w:val="28"/>
                <w:lang w:val="nl-NL"/>
              </w:rPr>
            </w:pPr>
          </w:p>
        </w:tc>
      </w:tr>
    </w:tbl>
    <w:p w:rsidR="0053448C" w:rsidRPr="00EE15ED" w:rsidRDefault="0053448C" w:rsidP="00DE1F95">
      <w:pPr>
        <w:widowControl w:val="0"/>
        <w:spacing w:before="0" w:after="0"/>
        <w:rPr>
          <w:rFonts w:eastAsia="Times New Roman"/>
          <w:b/>
          <w:sz w:val="26"/>
          <w:szCs w:val="26"/>
          <w:lang w:val="nl-NL"/>
        </w:rPr>
      </w:pPr>
    </w:p>
    <w:p w:rsidR="003D4D5C" w:rsidRPr="00EE15ED" w:rsidRDefault="003D4D5C" w:rsidP="00370A12">
      <w:pPr>
        <w:spacing w:before="0" w:after="0"/>
        <w:ind w:right="-357"/>
        <w:rPr>
          <w:rFonts w:ascii="Cambria" w:hAnsi="Cambria" w:cs="Cambria"/>
          <w:b/>
          <w:szCs w:val="28"/>
          <w:lang w:val="nl-NL"/>
        </w:rPr>
      </w:pPr>
    </w:p>
    <w:p w:rsidR="00714BA8" w:rsidRPr="00EE15ED" w:rsidRDefault="00714BA8" w:rsidP="00CC4690">
      <w:pPr>
        <w:spacing w:before="0" w:after="0"/>
        <w:ind w:right="-357"/>
        <w:jc w:val="center"/>
        <w:rPr>
          <w:b/>
          <w:szCs w:val="28"/>
        </w:rPr>
      </w:pPr>
      <w:r w:rsidRPr="00EE15ED">
        <w:rPr>
          <w:b/>
          <w:szCs w:val="28"/>
        </w:rPr>
        <w:t>TỜ TRÌNH</w:t>
      </w:r>
    </w:p>
    <w:p w:rsidR="00EA30F3" w:rsidRPr="00EE15ED" w:rsidRDefault="00EA30F3" w:rsidP="00EA30F3">
      <w:pPr>
        <w:spacing w:before="0" w:after="0"/>
        <w:jc w:val="center"/>
        <w:rPr>
          <w:rFonts w:eastAsia="Times New Roman"/>
          <w:b/>
          <w:szCs w:val="28"/>
          <w:lang w:val="nl-NL"/>
        </w:rPr>
      </w:pPr>
      <w:r w:rsidRPr="00EE15ED">
        <w:rPr>
          <w:rFonts w:eastAsia="Times New Roman"/>
          <w:b/>
          <w:szCs w:val="28"/>
          <w:lang w:val="nl-NL"/>
        </w:rPr>
        <w:t xml:space="preserve">Về lập đề nghị xây dựng dự án Nghị quyết của Quốc hội về </w:t>
      </w:r>
    </w:p>
    <w:p w:rsidR="00BA4285" w:rsidRPr="00EE15ED" w:rsidRDefault="00EA30F3" w:rsidP="00EA30F3">
      <w:pPr>
        <w:spacing w:before="0" w:after="0"/>
        <w:jc w:val="center"/>
        <w:rPr>
          <w:b/>
          <w:noProof/>
          <w:szCs w:val="28"/>
          <w:lang w:val="nl-NL"/>
        </w:rPr>
      </w:pPr>
      <w:r w:rsidRPr="00EE15ED">
        <w:rPr>
          <w:rFonts w:eastAsia="Times New Roman"/>
          <w:b/>
          <w:szCs w:val="28"/>
          <w:lang w:val="nl-NL"/>
        </w:rPr>
        <w:t>giảm thuế giá trị gia tăng</w:t>
      </w:r>
    </w:p>
    <w:p w:rsidR="00714BA8" w:rsidRPr="00EE15ED" w:rsidRDefault="00EA30F3" w:rsidP="00CC4690">
      <w:pPr>
        <w:spacing w:before="0" w:after="0"/>
        <w:ind w:right="-360"/>
        <w:jc w:val="center"/>
        <w:rPr>
          <w:b/>
          <w:sz w:val="12"/>
          <w:szCs w:val="12"/>
          <w:lang w:val="nl-NL"/>
        </w:rPr>
      </w:pPr>
      <w:r w:rsidRPr="00EE15ED">
        <w:rPr>
          <w:b/>
          <w:sz w:val="12"/>
          <w:szCs w:val="12"/>
          <w:lang w:val="nl-NL"/>
        </w:rPr>
        <w:t>_________________</w:t>
      </w:r>
    </w:p>
    <w:p w:rsidR="00DC15BA" w:rsidRPr="00EE15ED" w:rsidRDefault="00DC15BA" w:rsidP="00EA30F3">
      <w:pPr>
        <w:spacing w:before="0" w:after="0"/>
        <w:rPr>
          <w:rFonts w:eastAsia="Times New Roman"/>
          <w:bCs/>
          <w:szCs w:val="28"/>
          <w:lang w:val="nl-NL"/>
        </w:rPr>
      </w:pPr>
    </w:p>
    <w:p w:rsidR="005270A8" w:rsidRPr="00EE15ED" w:rsidRDefault="005270A8" w:rsidP="00EE15ED">
      <w:pPr>
        <w:spacing w:before="0" w:after="80"/>
        <w:jc w:val="center"/>
        <w:rPr>
          <w:rFonts w:eastAsia="Times New Roman"/>
          <w:bCs/>
          <w:szCs w:val="28"/>
          <w:lang w:val="nl-NL"/>
        </w:rPr>
      </w:pPr>
      <w:r w:rsidRPr="00EE15ED">
        <w:rPr>
          <w:rFonts w:eastAsia="Times New Roman"/>
          <w:bCs/>
          <w:szCs w:val="28"/>
          <w:lang w:val="nl-NL"/>
        </w:rPr>
        <w:t xml:space="preserve">Kính gửi: </w:t>
      </w:r>
      <w:r w:rsidR="00716A22" w:rsidRPr="00EE15ED">
        <w:rPr>
          <w:rFonts w:eastAsia="Times New Roman"/>
          <w:bCs/>
          <w:szCs w:val="28"/>
          <w:lang w:val="nl-NL"/>
        </w:rPr>
        <w:t>Chính phủ</w:t>
      </w:r>
    </w:p>
    <w:p w:rsidR="00DC15BA" w:rsidRPr="00EE15ED" w:rsidRDefault="00DC15BA" w:rsidP="009E04CD">
      <w:pPr>
        <w:spacing w:before="0" w:after="0"/>
        <w:rPr>
          <w:lang w:val="nl-NL"/>
        </w:rPr>
      </w:pPr>
    </w:p>
    <w:p w:rsidR="002F1E8F" w:rsidRPr="00EE15ED" w:rsidRDefault="002F1E8F" w:rsidP="002F1E8F">
      <w:pPr>
        <w:ind w:firstLine="720"/>
        <w:jc w:val="both"/>
        <w:rPr>
          <w:bCs/>
          <w:iCs/>
          <w:color w:val="000000"/>
          <w:lang w:val="nl-NL"/>
        </w:rPr>
      </w:pPr>
      <w:r w:rsidRPr="00EE15ED">
        <w:rPr>
          <w:bCs/>
          <w:iCs/>
          <w:color w:val="000000"/>
          <w:lang w:val="nl-NL"/>
        </w:rPr>
        <w:t xml:space="preserve">Thực hiện Nghị quyết số 110/2023/QH15 ngày 29/11/2023 của Quốc hội về Kỳ họp thứ 6, Quốc hội khóa XV, Nghị quyết số 44/NQ-CP ngày 05/4/2024 của Chính phủ về phiên họp Chính phủ thường kỳ tháng 3 năm 2024 và Hội nghị trực tuyến Chính phủ với địa phương, công văn số 2524/VPCP-KTTH ngày 16/4/2024 của Văn phòng Chính phủ thông báo ý kiến của Thủ tướng Chính phủ về việc tổng kết, đánh giá kết quả thực hiện giảm 2% thuế suất thuế giá trị gia tăng (GTGT), Nghị quyết số 53/NQ-CP ngày 23/4/2024 của Chính phủ về việc thông qua báo cáo về kết quả thực hiện việc giảm 2% thuế suất thuế GTGT theo Nghị quyết số 110/2023/QH15 ngày 29/11/2023 của Quốc hội, Bộ trưởng Bộ Tài chính </w:t>
      </w:r>
      <w:r w:rsidR="00693A59">
        <w:rPr>
          <w:bCs/>
          <w:iCs/>
          <w:color w:val="000000"/>
          <w:lang w:val="nl-NL"/>
        </w:rPr>
        <w:t xml:space="preserve">đã </w:t>
      </w:r>
      <w:r w:rsidRPr="00EE15ED">
        <w:rPr>
          <w:bCs/>
          <w:iCs/>
          <w:color w:val="000000"/>
          <w:lang w:val="nl-NL"/>
        </w:rPr>
        <w:t>thừa ủy quyền củ</w:t>
      </w:r>
      <w:r w:rsidR="00B346E1" w:rsidRPr="00EE15ED">
        <w:rPr>
          <w:bCs/>
          <w:iCs/>
          <w:color w:val="000000"/>
          <w:lang w:val="nl-NL"/>
        </w:rPr>
        <w:t xml:space="preserve">a </w:t>
      </w:r>
      <w:r w:rsidR="00693A59">
        <w:rPr>
          <w:bCs/>
          <w:iCs/>
          <w:color w:val="000000"/>
          <w:lang w:val="nl-NL"/>
        </w:rPr>
        <w:t>Thủ tướng Chính phủ</w:t>
      </w:r>
      <w:r w:rsidR="00B346E1" w:rsidRPr="00EE15ED">
        <w:rPr>
          <w:bCs/>
          <w:iCs/>
          <w:color w:val="000000"/>
          <w:lang w:val="nl-NL"/>
        </w:rPr>
        <w:t xml:space="preserve"> ký T</w:t>
      </w:r>
      <w:r w:rsidRPr="00EE15ED">
        <w:rPr>
          <w:bCs/>
          <w:iCs/>
          <w:color w:val="000000"/>
          <w:lang w:val="nl-NL"/>
        </w:rPr>
        <w:t>ờ trình số 177/TTr-CP ngày 23/4/2024 gửi Quốc hội về kết quả thực hiện việc giảm 2% thuế suất thuế GTGT theo Nghị quyết số 110/2023/QH15 ngày 29/11/2023 của Quốc hội về Kỳ họp thứ 6, Quốc hội khóa XV.</w:t>
      </w:r>
    </w:p>
    <w:p w:rsidR="002F1E8F" w:rsidRDefault="00942CFB" w:rsidP="002F1E8F">
      <w:pPr>
        <w:ind w:firstLine="720"/>
        <w:jc w:val="both"/>
        <w:rPr>
          <w:bCs/>
          <w:iCs/>
          <w:color w:val="000000"/>
          <w:lang w:val="nl-NL"/>
        </w:rPr>
      </w:pPr>
      <w:r w:rsidRPr="00EE15ED">
        <w:rPr>
          <w:bCs/>
          <w:iCs/>
          <w:color w:val="000000"/>
          <w:lang w:val="nl-NL"/>
        </w:rPr>
        <w:t>Ngày 19/5/2024, Tổng thư ký Quốc hội đã có Thông báo số 3642/TB-TTKQH về ý kiến của Uỷ ban Thường vụ Quốc hội (UBTVQH) về kết quả thực hiện việc giảm 2% thuế suất thuế GTGT theo Nghị quyết số 110/2023/QH15 ngày 29/11/2023 của Quốc hội.</w:t>
      </w:r>
      <w:r w:rsidR="002F1E8F" w:rsidRPr="00EE15ED">
        <w:rPr>
          <w:bCs/>
          <w:iCs/>
          <w:color w:val="000000"/>
          <w:lang w:val="nl-NL"/>
        </w:rPr>
        <w:t xml:space="preserve"> </w:t>
      </w:r>
    </w:p>
    <w:p w:rsidR="009566C7" w:rsidRPr="00EE15ED" w:rsidRDefault="009566C7" w:rsidP="002F1E8F">
      <w:pPr>
        <w:ind w:firstLine="720"/>
        <w:jc w:val="both"/>
        <w:rPr>
          <w:bCs/>
          <w:iCs/>
          <w:color w:val="000000"/>
          <w:lang w:val="nl-NL"/>
        </w:rPr>
      </w:pPr>
      <w:r w:rsidRPr="009566C7">
        <w:rPr>
          <w:bCs/>
          <w:iCs/>
          <w:color w:val="000000"/>
          <w:lang w:val="nl-NL"/>
        </w:rPr>
        <w:t>Ngày 20/5/2024, Văn phòng Chính phủ đã có công văn số 3422/VPCP-KTTH về dự án Nghị quyết của Quốc hội về giảm thuế GTGT.</w:t>
      </w:r>
    </w:p>
    <w:p w:rsidR="00BA4285" w:rsidRPr="00EE15ED" w:rsidRDefault="002F1E8F" w:rsidP="002F1E8F">
      <w:pPr>
        <w:widowControl w:val="0"/>
        <w:ind w:firstLine="720"/>
        <w:jc w:val="both"/>
        <w:rPr>
          <w:szCs w:val="28"/>
          <w:lang w:val="nl-NL"/>
        </w:rPr>
      </w:pPr>
      <w:r w:rsidRPr="00EE15ED">
        <w:rPr>
          <w:bCs/>
          <w:iCs/>
          <w:color w:val="000000"/>
          <w:lang w:val="nl-NL"/>
        </w:rPr>
        <w:t xml:space="preserve">Thực hiện theo </w:t>
      </w:r>
      <w:r w:rsidR="00942CFB" w:rsidRPr="00EE15ED">
        <w:rPr>
          <w:bCs/>
          <w:iCs/>
          <w:color w:val="000000"/>
          <w:lang w:val="nl-NL"/>
        </w:rPr>
        <w:t xml:space="preserve">Thông báo </w:t>
      </w:r>
      <w:r w:rsidR="00693A59">
        <w:rPr>
          <w:bCs/>
          <w:iCs/>
          <w:color w:val="000000"/>
          <w:lang w:val="nl-NL"/>
        </w:rPr>
        <w:t xml:space="preserve">số 3642/TB-TTKQH </w:t>
      </w:r>
      <w:r w:rsidR="00942CFB" w:rsidRPr="00EE15ED">
        <w:rPr>
          <w:bCs/>
          <w:iCs/>
          <w:color w:val="000000"/>
          <w:lang w:val="nl-NL"/>
        </w:rPr>
        <w:t>của Tổng Thư ký Quốc hội</w:t>
      </w:r>
      <w:r w:rsidR="000037BC">
        <w:rPr>
          <w:bCs/>
          <w:iCs/>
          <w:color w:val="000000"/>
          <w:lang w:val="nl-NL"/>
        </w:rPr>
        <w:t xml:space="preserve">, công văn số </w:t>
      </w:r>
      <w:r w:rsidR="000037BC" w:rsidRPr="009566C7">
        <w:rPr>
          <w:bCs/>
          <w:iCs/>
          <w:color w:val="000000"/>
          <w:lang w:val="nl-NL"/>
        </w:rPr>
        <w:t>3422/VPCP-KTTH</w:t>
      </w:r>
      <w:r w:rsidR="000037BC">
        <w:rPr>
          <w:bCs/>
          <w:iCs/>
          <w:color w:val="000000"/>
          <w:lang w:val="nl-NL"/>
        </w:rPr>
        <w:t xml:space="preserve"> của Văn phòng Chính phủ</w:t>
      </w:r>
      <w:r w:rsidRPr="00EE15ED">
        <w:rPr>
          <w:bCs/>
          <w:iCs/>
          <w:color w:val="000000"/>
          <w:lang w:val="nl-NL"/>
        </w:rPr>
        <w:t xml:space="preserve"> </w:t>
      </w:r>
      <w:r w:rsidR="00693A59">
        <w:rPr>
          <w:bCs/>
          <w:iCs/>
          <w:color w:val="000000"/>
          <w:lang w:val="nl-NL"/>
        </w:rPr>
        <w:t xml:space="preserve">nêu trên </w:t>
      </w:r>
      <w:r w:rsidRPr="00EE15ED">
        <w:rPr>
          <w:bCs/>
          <w:iCs/>
          <w:color w:val="000000"/>
          <w:lang w:val="nl-NL"/>
        </w:rPr>
        <w:t xml:space="preserve">và quy định tại Luật Ban hành văn bản quy phạm pháp luật, </w:t>
      </w:r>
      <w:r w:rsidR="00AB2A20" w:rsidRPr="00EE15ED">
        <w:rPr>
          <w:szCs w:val="28"/>
          <w:lang w:val="nl-NL"/>
        </w:rPr>
        <w:t>Bộ Tài chính</w:t>
      </w:r>
      <w:r w:rsidR="00BA4285" w:rsidRPr="00EE15ED">
        <w:rPr>
          <w:szCs w:val="28"/>
          <w:lang w:val="nl-NL"/>
        </w:rPr>
        <w:t xml:space="preserve"> xin báo cáo về chính sách giảm thuế </w:t>
      </w:r>
      <w:r w:rsidR="00F44564" w:rsidRPr="00EE15ED">
        <w:rPr>
          <w:bCs/>
          <w:iCs/>
          <w:szCs w:val="28"/>
          <w:lang w:val="nl-NL"/>
        </w:rPr>
        <w:t xml:space="preserve">GTGT </w:t>
      </w:r>
      <w:r w:rsidR="00BA4285" w:rsidRPr="00EE15ED">
        <w:rPr>
          <w:szCs w:val="28"/>
          <w:lang w:val="nl-NL"/>
        </w:rPr>
        <w:t>như sau:</w:t>
      </w:r>
    </w:p>
    <w:p w:rsidR="00E32E11" w:rsidRPr="00EE15ED" w:rsidRDefault="00E32E11" w:rsidP="00E32E11">
      <w:pPr>
        <w:ind w:firstLine="720"/>
        <w:jc w:val="both"/>
        <w:rPr>
          <w:b/>
          <w:szCs w:val="28"/>
          <w:lang w:val="nl-NL"/>
        </w:rPr>
      </w:pPr>
      <w:r w:rsidRPr="00EE15ED">
        <w:rPr>
          <w:b/>
          <w:szCs w:val="28"/>
          <w:lang w:val="nl-NL"/>
        </w:rPr>
        <w:t>I. SỰ CẦN THIẾT ĐỀ XUẤT GIẢI PHÁP GIẢM THUẾ GTGT</w:t>
      </w:r>
    </w:p>
    <w:p w:rsidR="002F1E8F" w:rsidRPr="00EE15ED" w:rsidRDefault="002F1E8F" w:rsidP="002F1E8F">
      <w:pPr>
        <w:widowControl w:val="0"/>
        <w:ind w:firstLine="720"/>
        <w:jc w:val="both"/>
        <w:rPr>
          <w:szCs w:val="28"/>
          <w:lang w:val="en-US"/>
        </w:rPr>
      </w:pPr>
      <w:r w:rsidRPr="00EE15ED">
        <w:rPr>
          <w:lang w:val="it-IT"/>
        </w:rPr>
        <w:t xml:space="preserve">Trong giai đoạn 2020-2023, Quốc hội đã quyết nghị giảm 2% thuế suất thuế GTGT đối với </w:t>
      </w:r>
      <w:r w:rsidR="00D23B34" w:rsidRPr="00EE15ED">
        <w:t xml:space="preserve">các nhóm hàng hóa, dịch vụ đang áp dụng mức thuế suất thuế </w:t>
      </w:r>
      <w:r w:rsidR="00D23B34" w:rsidRPr="00EE15ED">
        <w:rPr>
          <w:lang w:val="en-US"/>
        </w:rPr>
        <w:t>GTGT</w:t>
      </w:r>
      <w:r w:rsidR="00D23B34" w:rsidRPr="00EE15ED">
        <w:t xml:space="preserve">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w:t>
      </w:r>
      <w:r w:rsidR="00D23B34" w:rsidRPr="00EE15ED">
        <w:lastRenderedPageBreak/>
        <w:t>chất, sản phẩm hàng hóa và dịch vụ chịu thuế tiêu thụ đặc biệt</w:t>
      </w:r>
      <w:r w:rsidRPr="00EE15ED">
        <w:rPr>
          <w:lang w:val="it-IT"/>
        </w:rPr>
        <w:t xml:space="preserve"> tại các Nghị quyết số </w:t>
      </w:r>
      <w:r w:rsidRPr="00EE15ED">
        <w:rPr>
          <w:bCs/>
          <w:szCs w:val="28"/>
        </w:rPr>
        <w:t>43/2022/QH15</w:t>
      </w:r>
      <w:r w:rsidRPr="00EE15ED">
        <w:rPr>
          <w:bCs/>
          <w:szCs w:val="28"/>
          <w:lang w:val="en-US"/>
        </w:rPr>
        <w:t xml:space="preserve"> </w:t>
      </w:r>
      <w:r w:rsidRPr="00EE15ED">
        <w:rPr>
          <w:szCs w:val="28"/>
          <w:lang w:val="it-IT"/>
        </w:rPr>
        <w:t xml:space="preserve">ngày 11/01/2022 </w:t>
      </w:r>
      <w:r w:rsidRPr="00EE15ED">
        <w:rPr>
          <w:bCs/>
        </w:rPr>
        <w:t>về chính sách tài khóa, tiền tệ hỗ trợ Chương trình phục hồi và phát triển kinh tế - xã hội</w:t>
      </w:r>
      <w:r w:rsidR="00D23B34" w:rsidRPr="00EE15ED">
        <w:rPr>
          <w:color w:val="000000"/>
          <w:sz w:val="20"/>
          <w:szCs w:val="20"/>
          <w:lang w:val="en-US"/>
        </w:rPr>
        <w:t xml:space="preserve">; </w:t>
      </w:r>
      <w:r w:rsidRPr="00EE15ED">
        <w:t>Nghị quyết số 101/2023/QH15 ngày 24/6/2023 về Kỳ họp thứ 5, Quốc hội khóa XV</w:t>
      </w:r>
      <w:r w:rsidR="00D23B34" w:rsidRPr="00EE15ED">
        <w:rPr>
          <w:lang w:val="en-US"/>
        </w:rPr>
        <w:t xml:space="preserve">; </w:t>
      </w:r>
      <w:r w:rsidRPr="00EE15ED">
        <w:rPr>
          <w:szCs w:val="28"/>
          <w:lang w:val="it-IT"/>
        </w:rPr>
        <w:t xml:space="preserve">Nghị quyết số 110/2023/QH15 ngày </w:t>
      </w:r>
      <w:r w:rsidRPr="00EE15ED">
        <w:t>29/11/2023 về Kỳ họp thứ 6, Quốc hội khóa XV</w:t>
      </w:r>
      <w:r w:rsidR="00D23B34" w:rsidRPr="00EE15ED">
        <w:rPr>
          <w:lang w:val="en-US"/>
        </w:rPr>
        <w:t>.</w:t>
      </w:r>
    </w:p>
    <w:p w:rsidR="00D23B34" w:rsidRPr="00EE15ED" w:rsidRDefault="00D23B34" w:rsidP="00D23B34">
      <w:pPr>
        <w:ind w:firstLine="720"/>
        <w:jc w:val="both"/>
        <w:rPr>
          <w:rFonts w:eastAsia="Times New Roman"/>
          <w:bCs/>
          <w:iCs/>
          <w:szCs w:val="28"/>
          <w:lang w:val="pt-BR"/>
        </w:rPr>
      </w:pPr>
      <w:r w:rsidRPr="00EE15ED">
        <w:rPr>
          <w:bCs/>
          <w:iCs/>
          <w:szCs w:val="28"/>
          <w:lang w:val="nl-NL"/>
        </w:rPr>
        <w:t xml:space="preserve">Ngày 23/4/2024, Chính phủ đã có Tờ trình số 177/TTr-CP và </w:t>
      </w:r>
      <w:r w:rsidRPr="00EE15ED">
        <w:rPr>
          <w:rFonts w:eastAsia="Times New Roman"/>
          <w:szCs w:val="28"/>
          <w:lang w:val="nl-NL"/>
        </w:rPr>
        <w:t xml:space="preserve">báo cáo số 178/BC-CP </w:t>
      </w:r>
      <w:r w:rsidRPr="00EE15ED">
        <w:rPr>
          <w:bCs/>
          <w:iCs/>
          <w:szCs w:val="28"/>
          <w:lang w:val="nl-NL"/>
        </w:rPr>
        <w:t xml:space="preserve">gửi Quốc hội </w:t>
      </w:r>
      <w:r w:rsidRPr="00EE15ED">
        <w:rPr>
          <w:rFonts w:eastAsia="Times New Roman"/>
          <w:szCs w:val="28"/>
          <w:lang w:val="nl-NL"/>
        </w:rPr>
        <w:t xml:space="preserve">về kết quả thực hiện việc giảm 2% thuế suất thuế GTGT theo Nghị quyết số 110/2023/QH15 ngày 29 tháng 11 năm 2023 của Quốc hội </w:t>
      </w:r>
      <w:r w:rsidR="00C74DDA" w:rsidRPr="00EE15ED">
        <w:rPr>
          <w:rFonts w:eastAsia="Times New Roman"/>
          <w:szCs w:val="28"/>
          <w:lang w:val="nl-NL"/>
        </w:rPr>
        <w:t>(bản chụp kèm theo)</w:t>
      </w:r>
      <w:r w:rsidR="007A124C" w:rsidRPr="00EE15ED">
        <w:rPr>
          <w:rFonts w:eastAsia="Times New Roman"/>
          <w:szCs w:val="28"/>
          <w:lang w:val="nl-NL"/>
        </w:rPr>
        <w:t>.</w:t>
      </w:r>
      <w:r w:rsidRPr="00EE15ED">
        <w:rPr>
          <w:rFonts w:eastAsia="Times New Roman"/>
          <w:szCs w:val="28"/>
          <w:lang w:val="nl-NL"/>
        </w:rPr>
        <w:t xml:space="preserve"> Tại </w:t>
      </w:r>
      <w:r w:rsidR="009153C6">
        <w:rPr>
          <w:rFonts w:eastAsia="Times New Roman"/>
          <w:szCs w:val="28"/>
          <w:lang w:val="nl-NL"/>
        </w:rPr>
        <w:t>T</w:t>
      </w:r>
      <w:r w:rsidRPr="00EE15ED">
        <w:rPr>
          <w:rFonts w:eastAsia="Times New Roman"/>
          <w:szCs w:val="28"/>
          <w:lang w:val="nl-NL"/>
        </w:rPr>
        <w:t xml:space="preserve">ờ trình số </w:t>
      </w:r>
      <w:r w:rsidRPr="00EE15ED">
        <w:rPr>
          <w:bCs/>
          <w:iCs/>
          <w:szCs w:val="28"/>
          <w:lang w:val="nl-NL"/>
        </w:rPr>
        <w:t xml:space="preserve">177/TTr-CP, </w:t>
      </w:r>
      <w:r w:rsidRPr="00EE15ED">
        <w:rPr>
          <w:bCs/>
          <w:iCs/>
          <w:szCs w:val="28"/>
          <w:lang w:val="sv-SE"/>
        </w:rPr>
        <w:t xml:space="preserve">Chính phủ trình Quốc hội: Xem xét, cho phép tiếp tục </w:t>
      </w:r>
      <w:r w:rsidRPr="00EE15ED">
        <w:rPr>
          <w:bCs/>
          <w:iCs/>
          <w:lang w:val="nl-NL"/>
        </w:rPr>
        <w:t xml:space="preserve">thực hiện chính sách giảm </w:t>
      </w:r>
      <w:r w:rsidRPr="00EE15ED">
        <w:rPr>
          <w:szCs w:val="28"/>
          <w:lang w:val="pt-BR"/>
        </w:rPr>
        <w:t xml:space="preserve">2% thuế </w:t>
      </w:r>
      <w:r w:rsidRPr="00EE15ED">
        <w:rPr>
          <w:bCs/>
          <w:iCs/>
          <w:szCs w:val="28"/>
          <w:lang w:val="nl-NL"/>
        </w:rPr>
        <w:t xml:space="preserve">suất thuế GTGT đối với một số nhóm hàng hóa, dịch vụ đang áp dụng thuế suất thuế GTGT 10% </w:t>
      </w:r>
      <w:r w:rsidRPr="00EE15ED">
        <w:rPr>
          <w:bCs/>
          <w:iCs/>
          <w:szCs w:val="28"/>
          <w:lang w:val="sv-SE"/>
        </w:rPr>
        <w:t>trong 6 tháng cuối năm 2024 (t</w:t>
      </w:r>
      <w:r w:rsidRPr="00EE15ED">
        <w:rPr>
          <w:rFonts w:eastAsia="Times New Roman"/>
          <w:bCs/>
          <w:iCs/>
          <w:szCs w:val="28"/>
          <w:lang w:val="pt-BR"/>
        </w:rPr>
        <w:t xml:space="preserve">ừ ngày 01/7/2024 đến hết ngày 31/12/2024) </w:t>
      </w:r>
      <w:r w:rsidRPr="00EE15ED">
        <w:rPr>
          <w:bCs/>
          <w:iCs/>
          <w:szCs w:val="28"/>
          <w:lang w:val="nl-NL"/>
        </w:rPr>
        <w:t xml:space="preserve">và giao Chính phủ tổ chức, thực hiện. </w:t>
      </w:r>
    </w:p>
    <w:p w:rsidR="00603244" w:rsidRPr="00EE15ED" w:rsidRDefault="007A124C" w:rsidP="007A124C">
      <w:pPr>
        <w:spacing w:before="0" w:after="0"/>
        <w:jc w:val="both"/>
        <w:rPr>
          <w:b/>
          <w:szCs w:val="28"/>
          <w:lang w:val="nl-NL"/>
        </w:rPr>
      </w:pPr>
      <w:r w:rsidRPr="00EE15ED">
        <w:rPr>
          <w:rFonts w:eastAsia="Times New Roman"/>
          <w:szCs w:val="28"/>
          <w:lang w:val="nl-NL"/>
        </w:rPr>
        <w:tab/>
      </w:r>
      <w:r w:rsidR="00603244" w:rsidRPr="00EE15ED">
        <w:rPr>
          <w:b/>
          <w:szCs w:val="28"/>
          <w:lang w:val="nl-NL"/>
        </w:rPr>
        <w:t>II. QUÁ TRÌNH XÂY DỰNG HỒ SƠ ĐỀ NGHỊ</w:t>
      </w:r>
      <w:r w:rsidR="004E75E0" w:rsidRPr="00EE15ED">
        <w:rPr>
          <w:b/>
          <w:szCs w:val="28"/>
          <w:lang w:val="nl-NL"/>
        </w:rPr>
        <w:tab/>
      </w:r>
    </w:p>
    <w:p w:rsidR="00603244" w:rsidRPr="00EE15ED" w:rsidRDefault="007A124C" w:rsidP="00603244">
      <w:pPr>
        <w:widowControl w:val="0"/>
        <w:ind w:firstLine="720"/>
        <w:jc w:val="both"/>
        <w:rPr>
          <w:bCs/>
          <w:iCs/>
          <w:szCs w:val="28"/>
          <w:lang w:val="en-US"/>
        </w:rPr>
      </w:pPr>
      <w:r w:rsidRPr="00EE15ED">
        <w:rPr>
          <w:bCs/>
          <w:iCs/>
          <w:szCs w:val="28"/>
          <w:lang w:val="en-US"/>
        </w:rPr>
        <w:t>N</w:t>
      </w:r>
      <w:r w:rsidR="00603244" w:rsidRPr="00EE15ED">
        <w:rPr>
          <w:bCs/>
          <w:iCs/>
          <w:szCs w:val="28"/>
          <w:lang w:val="en-US"/>
        </w:rPr>
        <w:t xml:space="preserve">gày .../2024, Bộ Tài chính đã có công văn số ..../BTC-CST </w:t>
      </w:r>
      <w:r w:rsidR="008642E2" w:rsidRPr="00EE15ED">
        <w:rPr>
          <w:bCs/>
          <w:iCs/>
          <w:szCs w:val="28"/>
          <w:lang w:val="en-US"/>
        </w:rPr>
        <w:t xml:space="preserve">ngày   /2024 </w:t>
      </w:r>
      <w:r w:rsidR="00603244" w:rsidRPr="00EE15ED">
        <w:rPr>
          <w:bCs/>
          <w:iCs/>
          <w:szCs w:val="28"/>
          <w:lang w:val="en-US"/>
        </w:rPr>
        <w:t xml:space="preserve">gửi xin </w:t>
      </w:r>
      <w:r w:rsidR="00603244" w:rsidRPr="00EE15ED">
        <w:rPr>
          <w:szCs w:val="28"/>
          <w:lang w:val="nl-NL"/>
        </w:rPr>
        <w:t xml:space="preserve">ý kiến rộng rãi của các Bộ, ngành, địa phương, các tổ chức, cá nhân trên Cổng Thông tin điện tử của </w:t>
      </w:r>
      <w:r w:rsidR="00603244" w:rsidRPr="00EE15ED">
        <w:rPr>
          <w:bCs/>
          <w:szCs w:val="28"/>
          <w:lang w:val="nl-NL"/>
        </w:rPr>
        <w:t>Chính phủ</w:t>
      </w:r>
      <w:r w:rsidR="00603244" w:rsidRPr="00EE15ED">
        <w:rPr>
          <w:szCs w:val="28"/>
          <w:lang w:val="nl-NL"/>
        </w:rPr>
        <w:t xml:space="preserve"> và Cổng Thông tin điện tử của Bộ Tài chính</w:t>
      </w:r>
      <w:r w:rsidR="00603244" w:rsidRPr="00EE15ED">
        <w:rPr>
          <w:bCs/>
          <w:iCs/>
          <w:szCs w:val="28"/>
          <w:lang w:val="en-US"/>
        </w:rPr>
        <w:t xml:space="preserve"> về nội dung chính sách giảm thuế GTGT trong 6 tháng cuối năm 2024.</w:t>
      </w:r>
    </w:p>
    <w:p w:rsidR="00603244" w:rsidRPr="00EE15ED" w:rsidRDefault="00603244" w:rsidP="00603244">
      <w:pPr>
        <w:ind w:firstLine="720"/>
        <w:jc w:val="both"/>
        <w:rPr>
          <w:lang w:val="nl-NL"/>
        </w:rPr>
      </w:pPr>
      <w:r w:rsidRPr="00EE15ED">
        <w:rPr>
          <w:lang w:val="nl-NL"/>
        </w:rPr>
        <w:t xml:space="preserve">- Ngày .../2024, Bộ Tài chính có công văn số .../BTC-CST gửi Bộ Tư pháp </w:t>
      </w:r>
      <w:r w:rsidRPr="00EE15ED">
        <w:rPr>
          <w:bCs/>
          <w:color w:val="000000"/>
          <w:shd w:val="clear" w:color="auto" w:fill="FFFFFF"/>
          <w:lang w:val="nl-NL"/>
        </w:rPr>
        <w:t xml:space="preserve">xin ý kiến thẩm định về </w:t>
      </w:r>
      <w:r w:rsidRPr="00EE15ED">
        <w:rPr>
          <w:lang w:val="nl-NL"/>
        </w:rPr>
        <w:t xml:space="preserve">dự án Nghị quyết theo chỉ đạo của Thủ tướng Chính phủ tại </w:t>
      </w:r>
      <w:r w:rsidRPr="00EE15ED">
        <w:rPr>
          <w:bCs/>
          <w:iCs/>
          <w:szCs w:val="28"/>
          <w:lang w:val="sv-SE"/>
        </w:rPr>
        <w:t>công văn số .../VPCP-KTTH ngày .../2024 (</w:t>
      </w:r>
      <w:r w:rsidRPr="00EE15ED">
        <w:rPr>
          <w:lang w:val="nl-NL"/>
        </w:rPr>
        <w:t xml:space="preserve">Do thời gian gấp, để kịp tiến độ trình Chính phủ, thời gian </w:t>
      </w:r>
      <w:r w:rsidRPr="00EE15ED">
        <w:rPr>
          <w:bCs/>
          <w:iCs/>
          <w:szCs w:val="28"/>
          <w:lang w:val="sv-SE"/>
        </w:rPr>
        <w:t>lấy ý kiến đối với chính sách giảm thuế GTGT chưa đủ 30 ngày theo quy định tại điểm a khoản 1 Điều 36 Luật Ban hành văn bản quy phạm pháp luật).</w:t>
      </w:r>
    </w:p>
    <w:p w:rsidR="00603244" w:rsidRPr="00EE15ED" w:rsidRDefault="00603244" w:rsidP="00603244">
      <w:pPr>
        <w:ind w:firstLine="720"/>
        <w:jc w:val="both"/>
        <w:rPr>
          <w:szCs w:val="28"/>
          <w:lang w:val="nl-NL"/>
        </w:rPr>
      </w:pPr>
      <w:r w:rsidRPr="00EE15ED">
        <w:rPr>
          <w:szCs w:val="28"/>
          <w:lang w:val="nl-NL"/>
        </w:rPr>
        <w:t xml:space="preserve">- Ngày .../2024, Bộ Tư pháp có </w:t>
      </w:r>
      <w:r w:rsidRPr="00EE15ED">
        <w:rPr>
          <w:lang w:val="nl-NL"/>
        </w:rPr>
        <w:t>Báo cáo thẩm định số .../BCTĐ-BTP thẩm định đề nghị xây dựng dự án Nghị quyết.</w:t>
      </w:r>
    </w:p>
    <w:p w:rsidR="00603244" w:rsidRPr="00EE15ED" w:rsidRDefault="00603244" w:rsidP="00603244">
      <w:pPr>
        <w:ind w:firstLine="720"/>
        <w:jc w:val="both"/>
        <w:rPr>
          <w:b/>
          <w:szCs w:val="28"/>
          <w:lang w:val="nl-NL"/>
        </w:rPr>
      </w:pPr>
      <w:r w:rsidRPr="00EE15ED">
        <w:rPr>
          <w:b/>
          <w:szCs w:val="28"/>
          <w:lang w:val="nl-NL"/>
        </w:rPr>
        <w:t>III. MỤC TIÊU, QUAN ĐIỂM XÂY DỰNG NGHỊ QUYẾT</w:t>
      </w:r>
    </w:p>
    <w:p w:rsidR="00E32E11" w:rsidRPr="00EE15ED" w:rsidRDefault="00E32E11" w:rsidP="00E32E11">
      <w:pPr>
        <w:widowControl w:val="0"/>
        <w:ind w:firstLine="720"/>
        <w:jc w:val="both"/>
        <w:rPr>
          <w:b/>
          <w:szCs w:val="28"/>
          <w:lang w:val="nl-NL"/>
        </w:rPr>
      </w:pPr>
      <w:r w:rsidRPr="00EE15ED">
        <w:rPr>
          <w:b/>
          <w:szCs w:val="28"/>
          <w:lang w:val="nl-NL"/>
        </w:rPr>
        <w:t>1. Mục tiêu</w:t>
      </w:r>
    </w:p>
    <w:p w:rsidR="00E32E11" w:rsidRPr="00EE15ED" w:rsidRDefault="00E32E11" w:rsidP="00E32E11">
      <w:pPr>
        <w:pStyle w:val="BodyTextIndent"/>
        <w:spacing w:before="120" w:after="120"/>
        <w:ind w:firstLine="720"/>
        <w:rPr>
          <w:rFonts w:ascii="Times New Roman" w:hAnsi="Times New Roman"/>
          <w:b/>
          <w:color w:val="auto"/>
          <w:sz w:val="28"/>
          <w:szCs w:val="28"/>
          <w:lang w:val="nl-NL"/>
        </w:rPr>
      </w:pPr>
      <w:r w:rsidRPr="00EE15ED">
        <w:rPr>
          <w:rFonts w:ascii="Times New Roman" w:hAnsi="Times New Roman"/>
          <w:color w:val="auto"/>
          <w:sz w:val="28"/>
          <w:szCs w:val="28"/>
          <w:lang w:val="nl-NL"/>
        </w:rPr>
        <w:t>K</w:t>
      </w:r>
      <w:r w:rsidRPr="00EE15ED">
        <w:rPr>
          <w:rFonts w:ascii="Times New Roman" w:hAnsi="Times New Roman"/>
          <w:bCs/>
          <w:iCs/>
          <w:color w:val="auto"/>
          <w:sz w:val="28"/>
          <w:szCs w:val="28"/>
          <w:lang w:val="pt-BR"/>
        </w:rPr>
        <w:t xml:space="preserve">ích cầu tiêu dùng, phù hợp với bối cảnh kinh tế hiện nay, qua đó thúc đẩy hoạt động sản xuất kinh doanh sớm phục hồi và phát triển để đóng góp trở lại cho </w:t>
      </w:r>
      <w:r w:rsidR="00693A59">
        <w:rPr>
          <w:rFonts w:ascii="Times New Roman" w:hAnsi="Times New Roman"/>
          <w:bCs/>
          <w:iCs/>
          <w:color w:val="auto"/>
          <w:sz w:val="28"/>
          <w:szCs w:val="28"/>
          <w:lang w:val="pt-BR"/>
        </w:rPr>
        <w:t>ngân sách nhà nước</w:t>
      </w:r>
      <w:r w:rsidRPr="00EE15ED">
        <w:rPr>
          <w:rFonts w:ascii="Times New Roman" w:hAnsi="Times New Roman"/>
          <w:bCs/>
          <w:iCs/>
          <w:color w:val="auto"/>
          <w:sz w:val="28"/>
          <w:szCs w:val="28"/>
          <w:lang w:val="pt-BR"/>
        </w:rPr>
        <w:t xml:space="preserve"> </w:t>
      </w:r>
      <w:r w:rsidR="00CB02CD">
        <w:rPr>
          <w:rFonts w:ascii="Times New Roman" w:hAnsi="Times New Roman"/>
          <w:bCs/>
          <w:iCs/>
          <w:color w:val="auto"/>
          <w:sz w:val="28"/>
          <w:szCs w:val="28"/>
          <w:lang w:val="pt-BR"/>
        </w:rPr>
        <w:t xml:space="preserve">(NSNN) </w:t>
      </w:r>
      <w:r w:rsidRPr="00EE15ED">
        <w:rPr>
          <w:rFonts w:ascii="Times New Roman" w:hAnsi="Times New Roman"/>
          <w:bCs/>
          <w:iCs/>
          <w:color w:val="auto"/>
          <w:sz w:val="28"/>
          <w:szCs w:val="28"/>
          <w:lang w:val="pt-BR"/>
        </w:rPr>
        <w:t xml:space="preserve">cũng như nền kinh tế để thực hiện </w:t>
      </w:r>
      <w:r w:rsidRPr="00EE15ED">
        <w:rPr>
          <w:rFonts w:ascii="Times New Roman" w:hAnsi="Times New Roman"/>
          <w:color w:val="auto"/>
          <w:sz w:val="28"/>
          <w:szCs w:val="28"/>
          <w:lang w:val="nl-NL"/>
        </w:rPr>
        <w:t>Kế hoạch phát triển kinh tế - xã hội 5 năm 2021 - 2025, Kế hoạch phát triển kinh tế - xã hội hàng năm, Kế hoạch cơ cấu lại nền kinh tế giai đoạn 2021 - 2025</w:t>
      </w:r>
      <w:r w:rsidRPr="00EE15ED">
        <w:rPr>
          <w:rFonts w:ascii="Times New Roman" w:hAnsi="Times New Roman"/>
          <w:color w:val="auto"/>
          <w:sz w:val="28"/>
          <w:szCs w:val="28"/>
          <w:lang w:val="pt-BR"/>
        </w:rPr>
        <w:t>.</w:t>
      </w:r>
    </w:p>
    <w:p w:rsidR="00E32E11" w:rsidRPr="00EE15ED" w:rsidRDefault="00E32E11" w:rsidP="00E32E11">
      <w:pPr>
        <w:pStyle w:val="BodyTextIndent"/>
        <w:spacing w:before="120" w:after="120"/>
        <w:ind w:firstLine="720"/>
        <w:rPr>
          <w:rFonts w:ascii="Times New Roman" w:hAnsi="Times New Roman"/>
          <w:b/>
          <w:color w:val="auto"/>
          <w:sz w:val="28"/>
          <w:szCs w:val="28"/>
          <w:lang w:val="nl-NL"/>
        </w:rPr>
      </w:pPr>
      <w:r w:rsidRPr="00EE15ED">
        <w:rPr>
          <w:rFonts w:ascii="Times New Roman" w:hAnsi="Times New Roman"/>
          <w:b/>
          <w:color w:val="auto"/>
          <w:sz w:val="28"/>
          <w:szCs w:val="28"/>
          <w:lang w:val="nl-NL"/>
        </w:rPr>
        <w:t xml:space="preserve">2. Quan điểm xây dựng </w:t>
      </w:r>
      <w:r w:rsidR="006D5EA1" w:rsidRPr="00EE15ED">
        <w:rPr>
          <w:rFonts w:ascii="Times New Roman" w:hAnsi="Times New Roman"/>
          <w:b/>
          <w:color w:val="auto"/>
          <w:sz w:val="28"/>
          <w:szCs w:val="28"/>
          <w:lang w:val="nl-NL"/>
        </w:rPr>
        <w:t>Nghị quyết</w:t>
      </w:r>
    </w:p>
    <w:p w:rsidR="00E32E11" w:rsidRPr="00EE15ED" w:rsidRDefault="00E32E11" w:rsidP="00E32E11">
      <w:pPr>
        <w:ind w:firstLine="720"/>
        <w:jc w:val="both"/>
        <w:rPr>
          <w:szCs w:val="28"/>
          <w:lang w:val="pt-BR"/>
        </w:rPr>
      </w:pPr>
      <w:r w:rsidRPr="00EE15ED">
        <w:rPr>
          <w:spacing w:val="-2"/>
          <w:szCs w:val="28"/>
          <w:lang w:val="nl-NL"/>
        </w:rPr>
        <w:t xml:space="preserve">- </w:t>
      </w:r>
      <w:r w:rsidRPr="00EE15ED">
        <w:rPr>
          <w:szCs w:val="28"/>
        </w:rPr>
        <w:t xml:space="preserve">Bám sát chủ trương, định hướng của Đảng, các </w:t>
      </w:r>
      <w:r w:rsidR="00693A59">
        <w:rPr>
          <w:szCs w:val="28"/>
          <w:lang w:val="en-US"/>
        </w:rPr>
        <w:t>N</w:t>
      </w:r>
      <w:r w:rsidRPr="00EE15ED">
        <w:rPr>
          <w:szCs w:val="28"/>
        </w:rPr>
        <w:t>ghị quyết của Quốc hội, kiên trì giữ vững ổn định kinh tế vĩ mô,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hàng năm, Kế hoạch cơ cấu lại nền kinh tế giai đoạn 2021 - 2025</w:t>
      </w:r>
      <w:r w:rsidRPr="00EE15ED">
        <w:rPr>
          <w:szCs w:val="28"/>
          <w:lang w:val="pt-BR"/>
        </w:rPr>
        <w:t>.</w:t>
      </w:r>
    </w:p>
    <w:p w:rsidR="00E32E11" w:rsidRPr="00EE15ED" w:rsidRDefault="00E32E11" w:rsidP="00E32E11">
      <w:pPr>
        <w:ind w:firstLine="720"/>
        <w:jc w:val="both"/>
        <w:rPr>
          <w:szCs w:val="28"/>
          <w:lang w:val="pt-BR"/>
        </w:rPr>
      </w:pPr>
      <w:r w:rsidRPr="00EE15ED">
        <w:rPr>
          <w:szCs w:val="28"/>
          <w:lang w:val="pt-BR"/>
        </w:rPr>
        <w:lastRenderedPageBreak/>
        <w:t>- Góp phần giảm giá thành hàng hóa, dịch vụ để thúc đẩy sản xuất kinh doanh</w:t>
      </w:r>
      <w:r w:rsidRPr="00EE15ED">
        <w:rPr>
          <w:spacing w:val="-2"/>
          <w:szCs w:val="28"/>
          <w:lang w:val="nl-NL"/>
        </w:rPr>
        <w:t xml:space="preserve"> và tạo thêm công ăn việc làm cho người lao động.</w:t>
      </w:r>
    </w:p>
    <w:p w:rsidR="00E32E11" w:rsidRPr="00EE15ED" w:rsidRDefault="00E32E11" w:rsidP="00E32E11">
      <w:pPr>
        <w:ind w:firstLine="720"/>
        <w:jc w:val="both"/>
        <w:rPr>
          <w:bCs/>
          <w:iCs/>
          <w:szCs w:val="28"/>
          <w:lang w:val="sv-SE"/>
        </w:rPr>
      </w:pPr>
      <w:r w:rsidRPr="00EE15ED">
        <w:rPr>
          <w:bCs/>
          <w:iCs/>
          <w:szCs w:val="28"/>
          <w:lang w:val="sv-SE"/>
        </w:rPr>
        <w:t>- Đảm bảo dễ thực hiện nhằm tạo thuận lợi cho người nộp thuế, phù hợp với bối cảnh hiện nay.</w:t>
      </w:r>
    </w:p>
    <w:p w:rsidR="00E32E11" w:rsidRPr="00EE15ED" w:rsidRDefault="00E32E11" w:rsidP="00E32E11">
      <w:pPr>
        <w:ind w:firstLine="720"/>
        <w:jc w:val="both"/>
        <w:rPr>
          <w:b/>
          <w:bCs/>
          <w:iCs/>
          <w:lang w:val="sv-SE"/>
        </w:rPr>
      </w:pPr>
      <w:r w:rsidRPr="00EE15ED">
        <w:rPr>
          <w:b/>
          <w:bCs/>
          <w:iCs/>
          <w:lang w:val="sv-SE"/>
        </w:rPr>
        <w:t>I</w:t>
      </w:r>
      <w:r w:rsidR="00603244" w:rsidRPr="00EE15ED">
        <w:rPr>
          <w:b/>
          <w:bCs/>
          <w:iCs/>
          <w:lang w:val="sv-SE"/>
        </w:rPr>
        <w:t>V</w:t>
      </w:r>
      <w:r w:rsidRPr="00EE15ED">
        <w:rPr>
          <w:b/>
          <w:bCs/>
          <w:iCs/>
          <w:lang w:val="sv-SE"/>
        </w:rPr>
        <w:t>. PHẠM VI ĐIỀU CHỈNH, ĐỐI TƯỢNG ÁP DỤNG CỦA NGHỊ QUYẾT</w:t>
      </w:r>
    </w:p>
    <w:p w:rsidR="00E32E11" w:rsidRPr="00EE15ED" w:rsidRDefault="00E32E11" w:rsidP="00E32E11">
      <w:pPr>
        <w:ind w:firstLine="720"/>
        <w:jc w:val="both"/>
        <w:rPr>
          <w:b/>
          <w:bCs/>
          <w:iCs/>
          <w:lang w:val="sv-SE"/>
        </w:rPr>
      </w:pPr>
      <w:r w:rsidRPr="00EE15ED">
        <w:rPr>
          <w:b/>
          <w:bCs/>
          <w:iCs/>
          <w:lang w:val="sv-SE"/>
        </w:rPr>
        <w:t>1. Phạm vi điều chỉnh</w:t>
      </w:r>
    </w:p>
    <w:p w:rsidR="00E32E11" w:rsidRPr="00EE15ED" w:rsidRDefault="00E32E11" w:rsidP="00E32E11">
      <w:pPr>
        <w:ind w:firstLine="720"/>
        <w:jc w:val="both"/>
        <w:rPr>
          <w:bCs/>
          <w:iCs/>
          <w:lang w:val="pt-BR"/>
        </w:rPr>
      </w:pPr>
      <w:r w:rsidRPr="00EE15ED">
        <w:rPr>
          <w:bCs/>
          <w:iCs/>
          <w:lang w:val="sv-SE"/>
        </w:rPr>
        <w:t xml:space="preserve">Nghị quyết này điều chỉnh đối với nhóm hàng hóa, dịch vụ </w:t>
      </w:r>
      <w:r w:rsidRPr="00EE15ED">
        <w:rPr>
          <w:bCs/>
          <w:iCs/>
          <w:lang w:val="pt-BR"/>
        </w:rPr>
        <w:t>đang áp dụng mức thuế suất 10%</w:t>
      </w:r>
      <w:r w:rsidRPr="00EE15ED">
        <w:rPr>
          <w:bCs/>
          <w:iCs/>
          <w:lang w:val="nl-NL"/>
        </w:rPr>
        <w:t xml:space="preserve">, </w:t>
      </w:r>
      <w:r w:rsidRPr="00EE15ED">
        <w:rPr>
          <w:bCs/>
          <w:iCs/>
          <w:lang w:val="pt-BR"/>
        </w:rPr>
        <w:t>trừ một số nhóm hàng hóa, dịch vụ sau: Viễn thông, công nghệ thông tin, hoạt động tài chính, ngân hàng, chứng khoán, bảo hiểm, kinh doanh bất động sản, sản xuất kim loại và sản xuất sản phẩm từ kim loại đúc sẵn, ngành khai khoáng (không kể khai thác than), sản xuất than cốc, dầu mỏ tinh chế, sản xuất hoá chất và sản phẩm hoá chất, các sản phẩm hàng hóa và dịch vụ chịu thuế tiêu thụ đặc biệt.</w:t>
      </w:r>
    </w:p>
    <w:p w:rsidR="00E32E11" w:rsidRPr="00EE15ED" w:rsidRDefault="00E32E11" w:rsidP="00E32E11">
      <w:pPr>
        <w:ind w:firstLine="720"/>
        <w:jc w:val="both"/>
        <w:rPr>
          <w:rFonts w:eastAsia="Times New Roman"/>
          <w:bCs/>
          <w:iCs/>
          <w:szCs w:val="28"/>
          <w:lang w:val="pt-BR"/>
        </w:rPr>
      </w:pPr>
      <w:r w:rsidRPr="00EE15ED">
        <w:rPr>
          <w:bCs/>
          <w:iCs/>
          <w:lang w:val="pt-BR"/>
        </w:rPr>
        <w:t xml:space="preserve">Phương án giảm thuế GTGT tại dự thảo Nghị quyết giữ nguyên như nội dung đã được quy định tại </w:t>
      </w:r>
      <w:r w:rsidRPr="00EE15ED">
        <w:rPr>
          <w:rFonts w:eastAsia="Times New Roman"/>
          <w:bCs/>
          <w:iCs/>
          <w:szCs w:val="28"/>
          <w:lang w:val="pt-BR"/>
        </w:rPr>
        <w:t>Nghị quyết số 43/2022/QH15</w:t>
      </w:r>
      <w:r w:rsidR="00F47D4C" w:rsidRPr="00EE15ED">
        <w:rPr>
          <w:rFonts w:eastAsia="Times New Roman"/>
          <w:bCs/>
          <w:iCs/>
          <w:szCs w:val="28"/>
          <w:lang w:val="pt-BR"/>
        </w:rPr>
        <w:t>,</w:t>
      </w:r>
      <w:r w:rsidRPr="00EE15ED">
        <w:rPr>
          <w:rFonts w:eastAsia="Times New Roman"/>
          <w:bCs/>
          <w:iCs/>
          <w:szCs w:val="28"/>
          <w:lang w:val="pt-BR"/>
        </w:rPr>
        <w:t xml:space="preserve"> </w:t>
      </w:r>
      <w:r w:rsidRPr="00EE15ED">
        <w:rPr>
          <w:rFonts w:eastAsia="Times New Roman"/>
          <w:bCs/>
          <w:iCs/>
          <w:szCs w:val="28"/>
          <w:lang w:val="nl-NL"/>
        </w:rPr>
        <w:t>Nghị quyết số 101/2023/QH15</w:t>
      </w:r>
      <w:r w:rsidR="00F47D4C" w:rsidRPr="00EE15ED">
        <w:rPr>
          <w:rFonts w:eastAsia="Times New Roman"/>
          <w:bCs/>
          <w:iCs/>
          <w:szCs w:val="28"/>
          <w:lang w:val="nl-NL"/>
        </w:rPr>
        <w:t xml:space="preserve"> và Nghị quyết số 110/2023/QH15</w:t>
      </w:r>
      <w:r w:rsidRPr="00EE15ED">
        <w:rPr>
          <w:rFonts w:eastAsia="Times New Roman"/>
          <w:bCs/>
          <w:iCs/>
          <w:szCs w:val="28"/>
          <w:lang w:val="nl-NL"/>
        </w:rPr>
        <w:t>.</w:t>
      </w:r>
    </w:p>
    <w:p w:rsidR="00E32E11" w:rsidRPr="00EE15ED" w:rsidRDefault="00E32E11" w:rsidP="00E32E11">
      <w:pPr>
        <w:ind w:firstLine="720"/>
        <w:jc w:val="both"/>
        <w:rPr>
          <w:b/>
          <w:bCs/>
          <w:iCs/>
          <w:lang w:val="sv-SE"/>
        </w:rPr>
      </w:pPr>
      <w:r w:rsidRPr="00EE15ED">
        <w:rPr>
          <w:b/>
          <w:bCs/>
          <w:iCs/>
          <w:lang w:val="sv-SE"/>
        </w:rPr>
        <w:t>2. Đối tượng áp dụng</w:t>
      </w:r>
    </w:p>
    <w:p w:rsidR="00603244" w:rsidRPr="00EE15ED" w:rsidRDefault="00E32E11" w:rsidP="00603244">
      <w:pPr>
        <w:tabs>
          <w:tab w:val="left" w:pos="2780"/>
          <w:tab w:val="center" w:pos="4631"/>
        </w:tabs>
        <w:autoSpaceDE w:val="0"/>
        <w:autoSpaceDN w:val="0"/>
        <w:adjustRightInd w:val="0"/>
        <w:ind w:firstLine="720"/>
        <w:jc w:val="both"/>
        <w:rPr>
          <w:rFonts w:eastAsia="Times New Roman"/>
          <w:szCs w:val="28"/>
          <w:lang w:val="nl-NL"/>
        </w:rPr>
      </w:pPr>
      <w:r w:rsidRPr="00EE15ED">
        <w:rPr>
          <w:b/>
          <w:bCs/>
          <w:iCs/>
          <w:lang w:val="sv-SE"/>
        </w:rPr>
        <w:t xml:space="preserve"> </w:t>
      </w:r>
      <w:r w:rsidR="00603244" w:rsidRPr="00EE15ED">
        <w:rPr>
          <w:rFonts w:eastAsia="Times New Roman"/>
          <w:szCs w:val="28"/>
          <w:lang w:val="nl-NL"/>
        </w:rPr>
        <w:t>- Các tổ chức, cá nhân sản xuất, nhập khẩu hàng hóa và kinh doanh dịch vụ thuộc đối tượng chịu thuế GTGT.</w:t>
      </w:r>
    </w:p>
    <w:p w:rsidR="00603244" w:rsidRPr="00EE15ED" w:rsidRDefault="00603244" w:rsidP="00603244">
      <w:pPr>
        <w:tabs>
          <w:tab w:val="left" w:pos="2780"/>
          <w:tab w:val="center" w:pos="4631"/>
        </w:tabs>
        <w:autoSpaceDE w:val="0"/>
        <w:autoSpaceDN w:val="0"/>
        <w:adjustRightInd w:val="0"/>
        <w:ind w:firstLine="720"/>
        <w:jc w:val="both"/>
        <w:rPr>
          <w:rFonts w:eastAsia="Times New Roman"/>
          <w:szCs w:val="28"/>
          <w:lang w:val="nl-NL"/>
        </w:rPr>
      </w:pPr>
      <w:r w:rsidRPr="00EE15ED">
        <w:rPr>
          <w:rFonts w:eastAsia="Times New Roman"/>
          <w:szCs w:val="28"/>
          <w:lang w:val="nl-NL"/>
        </w:rPr>
        <w:t>- Cơ quan quản lý thuế, cơ quan nhà nước, tổ chức, cá nhân khác có liên quan.</w:t>
      </w:r>
    </w:p>
    <w:p w:rsidR="00603244" w:rsidRPr="00EE15ED" w:rsidRDefault="00603244" w:rsidP="00603244">
      <w:pPr>
        <w:ind w:firstLine="720"/>
        <w:jc w:val="both"/>
        <w:rPr>
          <w:b/>
          <w:bCs/>
          <w:iCs/>
          <w:lang w:val="sv-SE"/>
        </w:rPr>
      </w:pPr>
      <w:r w:rsidRPr="00EE15ED">
        <w:rPr>
          <w:b/>
          <w:bCs/>
          <w:iCs/>
          <w:lang w:val="sv-SE"/>
        </w:rPr>
        <w:t xml:space="preserve">V. </w:t>
      </w:r>
      <w:r w:rsidRPr="00EE15ED">
        <w:rPr>
          <w:rFonts w:eastAsia="Times New Roman"/>
          <w:b/>
          <w:bCs/>
          <w:color w:val="000000"/>
          <w:szCs w:val="28"/>
          <w:lang w:eastAsia="vi-VN"/>
        </w:rPr>
        <w:t xml:space="preserve">MỤC TIÊU, NỘI DUNG CỦA CHÍNH SÁCH, GIẢI PHÁP THỰC HIỆN CHÍNH SÁCH TRONG ĐỀ NGHỊ XÂY DỰNG </w:t>
      </w:r>
      <w:r w:rsidRPr="00EE15ED">
        <w:rPr>
          <w:b/>
          <w:bCs/>
          <w:iCs/>
          <w:lang w:val="sv-SE"/>
        </w:rPr>
        <w:t>NGHỊ QUYẾT</w:t>
      </w:r>
    </w:p>
    <w:p w:rsidR="00603244" w:rsidRPr="00EE15ED" w:rsidRDefault="00603244" w:rsidP="00603244">
      <w:pPr>
        <w:ind w:firstLine="720"/>
        <w:jc w:val="both"/>
        <w:rPr>
          <w:b/>
          <w:szCs w:val="28"/>
          <w:lang w:val="en-US"/>
        </w:rPr>
      </w:pPr>
      <w:r w:rsidRPr="00EE15ED">
        <w:rPr>
          <w:rFonts w:eastAsia="Times New Roman"/>
          <w:b/>
          <w:szCs w:val="28"/>
          <w:lang w:val="nl-NL"/>
        </w:rPr>
        <w:t>C</w:t>
      </w:r>
      <w:r w:rsidR="00DC333D" w:rsidRPr="00EE15ED">
        <w:rPr>
          <w:b/>
          <w:szCs w:val="28"/>
        </w:rPr>
        <w:t>hính sách</w:t>
      </w:r>
      <w:r w:rsidRPr="00EE15ED">
        <w:rPr>
          <w:b/>
          <w:szCs w:val="28"/>
        </w:rPr>
        <w:t>:</w:t>
      </w:r>
      <w:r w:rsidRPr="00EE15ED">
        <w:rPr>
          <w:b/>
          <w:szCs w:val="28"/>
          <w:lang w:val="en-US"/>
        </w:rPr>
        <w:t xml:space="preserve"> </w:t>
      </w:r>
      <w:r w:rsidRPr="00EE15ED">
        <w:rPr>
          <w:bCs/>
          <w:iCs/>
          <w:lang w:val="nl-NL"/>
        </w:rPr>
        <w:t xml:space="preserve">Giảm </w:t>
      </w:r>
      <w:r w:rsidRPr="00EE15ED">
        <w:rPr>
          <w:szCs w:val="28"/>
          <w:lang w:val="pt-BR"/>
        </w:rPr>
        <w:t xml:space="preserve">2% thuế </w:t>
      </w:r>
      <w:r w:rsidRPr="00EE15ED">
        <w:rPr>
          <w:bCs/>
          <w:iCs/>
          <w:szCs w:val="28"/>
          <w:lang w:val="nl-NL"/>
        </w:rPr>
        <w:t>suất thuế GTGT đối với một số nhóm hàng hóa, dịch vụ đang áp dụng thuế suất thuế GTGT 10%.</w:t>
      </w:r>
    </w:p>
    <w:p w:rsidR="00603244" w:rsidRPr="00EE15ED" w:rsidRDefault="00603244" w:rsidP="00603244">
      <w:pPr>
        <w:ind w:firstLine="720"/>
        <w:jc w:val="both"/>
        <w:rPr>
          <w:b/>
          <w:bCs/>
          <w:szCs w:val="28"/>
          <w:lang w:val="nl-NL"/>
        </w:rPr>
      </w:pPr>
      <w:r w:rsidRPr="00EE15ED">
        <w:rPr>
          <w:b/>
          <w:bCs/>
          <w:szCs w:val="28"/>
          <w:lang w:val="nl-NL"/>
        </w:rPr>
        <w:t>1. Mục tiêu của chính sách</w:t>
      </w:r>
    </w:p>
    <w:p w:rsidR="00603244" w:rsidRPr="00EE15ED" w:rsidRDefault="00603244" w:rsidP="00603244">
      <w:pPr>
        <w:ind w:firstLine="720"/>
        <w:jc w:val="both"/>
        <w:rPr>
          <w:bCs/>
          <w:iCs/>
          <w:lang w:val="sv-SE"/>
        </w:rPr>
      </w:pPr>
      <w:r w:rsidRPr="00EE15ED">
        <w:rPr>
          <w:rFonts w:eastAsia="Times New Roman"/>
          <w:bCs/>
          <w:iCs/>
          <w:szCs w:val="28"/>
          <w:lang w:val="pt-BR"/>
        </w:rPr>
        <w:t>Đảm bảo đúng mục tiêu kích cầu tiêu dùng, phù hợp với bối cảnh kinh tế hiện nay, qua đó thúc đẩy hoạt động sản xuất kinh doanh sớm phục hồi và phát triển để đóng góp trở lại cho NSNN cũng như nền kinh tế.</w:t>
      </w:r>
    </w:p>
    <w:p w:rsidR="00603244" w:rsidRPr="00EE15ED" w:rsidRDefault="00603244" w:rsidP="00603244">
      <w:pPr>
        <w:ind w:firstLine="720"/>
        <w:jc w:val="both"/>
        <w:rPr>
          <w:b/>
          <w:bCs/>
          <w:szCs w:val="28"/>
          <w:lang w:val="nl-NL"/>
        </w:rPr>
      </w:pPr>
      <w:r w:rsidRPr="00EE15ED">
        <w:rPr>
          <w:b/>
          <w:bCs/>
          <w:szCs w:val="28"/>
          <w:lang w:val="nl-NL"/>
        </w:rPr>
        <w:t>2. Nội dung của chính sách</w:t>
      </w:r>
    </w:p>
    <w:p w:rsidR="00603244" w:rsidRPr="00EE15ED" w:rsidRDefault="00603244" w:rsidP="00603244">
      <w:pPr>
        <w:ind w:firstLine="720"/>
        <w:jc w:val="both"/>
        <w:rPr>
          <w:bCs/>
          <w:iCs/>
          <w:szCs w:val="28"/>
          <w:lang w:val="nl-NL"/>
        </w:rPr>
      </w:pPr>
      <w:r w:rsidRPr="00EE15ED">
        <w:rPr>
          <w:bCs/>
          <w:iCs/>
          <w:lang w:val="nl-NL"/>
        </w:rPr>
        <w:t xml:space="preserve">Tiếp tục thực hiện chính sách giảm </w:t>
      </w:r>
      <w:r w:rsidRPr="00EE15ED">
        <w:rPr>
          <w:szCs w:val="28"/>
          <w:lang w:val="pt-BR"/>
        </w:rPr>
        <w:t xml:space="preserve">2% thuế </w:t>
      </w:r>
      <w:r w:rsidRPr="00EE15ED">
        <w:rPr>
          <w:bCs/>
          <w:iCs/>
          <w:szCs w:val="28"/>
          <w:lang w:val="nl-NL"/>
        </w:rPr>
        <w:t xml:space="preserve">suất thuế GTGT đối với một số nhóm hàng hóa, dịch vụ đang áp dụng thuế suất thuế GTGT 10% tương tự nội dung </w:t>
      </w:r>
      <w:r w:rsidRPr="00EE15ED">
        <w:rPr>
          <w:bCs/>
          <w:iCs/>
          <w:lang w:val="pt-BR"/>
        </w:rPr>
        <w:t xml:space="preserve">quy định tại </w:t>
      </w:r>
      <w:r w:rsidRPr="00EE15ED">
        <w:rPr>
          <w:rFonts w:eastAsia="Times New Roman"/>
          <w:bCs/>
          <w:iCs/>
          <w:szCs w:val="28"/>
          <w:lang w:val="pt-BR"/>
        </w:rPr>
        <w:t xml:space="preserve">Nghị quyết số 43/2022/QH15, </w:t>
      </w:r>
      <w:r w:rsidRPr="00EE15ED">
        <w:rPr>
          <w:rFonts w:eastAsia="Times New Roman"/>
          <w:bCs/>
          <w:iCs/>
          <w:szCs w:val="28"/>
          <w:lang w:val="nl-NL"/>
        </w:rPr>
        <w:t>Nghị quyết số 101/2023/QH15, Nghị quyết số 110/2023/QH15.</w:t>
      </w:r>
    </w:p>
    <w:p w:rsidR="00603244" w:rsidRPr="00EE15ED" w:rsidRDefault="00603244" w:rsidP="00603244">
      <w:pPr>
        <w:ind w:firstLine="720"/>
        <w:jc w:val="both"/>
        <w:rPr>
          <w:bCs/>
          <w:iCs/>
          <w:lang w:val="nl-NL"/>
        </w:rPr>
      </w:pPr>
      <w:proofErr w:type="gramStart"/>
      <w:r w:rsidRPr="00EE15ED">
        <w:rPr>
          <w:bCs/>
          <w:iCs/>
          <w:lang w:val="en-US"/>
        </w:rPr>
        <w:t xml:space="preserve">Đồng thời giao Chính phủ </w:t>
      </w:r>
      <w:r w:rsidRPr="00EE15ED">
        <w:rPr>
          <w:bCs/>
          <w:iCs/>
          <w:lang w:val="nl-NL"/>
        </w:rPr>
        <w:t>hướng dẫn, tổ chức triển khai thực hiện chính sách này bảo đảm công khai minh bạch, hiệu quả.</w:t>
      </w:r>
      <w:proofErr w:type="gramEnd"/>
    </w:p>
    <w:p w:rsidR="00603244" w:rsidRPr="00EE15ED" w:rsidRDefault="00603244" w:rsidP="00603244">
      <w:pPr>
        <w:ind w:firstLine="720"/>
        <w:jc w:val="both"/>
        <w:rPr>
          <w:b/>
          <w:noProof/>
          <w:szCs w:val="28"/>
          <w:lang w:val="sv-SE"/>
        </w:rPr>
      </w:pPr>
      <w:r w:rsidRPr="00EE15ED">
        <w:rPr>
          <w:b/>
          <w:noProof/>
          <w:szCs w:val="28"/>
          <w:lang w:val="sv-SE"/>
        </w:rPr>
        <w:t>3. Giải pháp thực hiện chính sách đã được lựa chọn và lý do lựa chọn</w:t>
      </w:r>
    </w:p>
    <w:p w:rsidR="00E32E11" w:rsidRPr="00EE15ED" w:rsidRDefault="00E32E11" w:rsidP="00E32E11">
      <w:pPr>
        <w:ind w:firstLine="720"/>
        <w:jc w:val="both"/>
        <w:rPr>
          <w:bCs/>
          <w:i/>
          <w:iCs/>
          <w:lang w:val="sv-SE"/>
        </w:rPr>
      </w:pPr>
      <w:r w:rsidRPr="00EE15ED">
        <w:rPr>
          <w:i/>
          <w:noProof/>
          <w:szCs w:val="28"/>
          <w:lang w:val="sv-SE"/>
        </w:rPr>
        <w:lastRenderedPageBreak/>
        <w:t>- Giải pháp thực hiện chính sách:</w:t>
      </w:r>
    </w:p>
    <w:p w:rsidR="00E32E11" w:rsidRPr="00EE15ED" w:rsidRDefault="00E32E11" w:rsidP="00E32E11">
      <w:pPr>
        <w:ind w:firstLine="720"/>
        <w:jc w:val="both"/>
        <w:rPr>
          <w:noProof/>
          <w:szCs w:val="28"/>
          <w:lang w:val="sv-SE"/>
        </w:rPr>
      </w:pPr>
      <w:r w:rsidRPr="00EE15ED">
        <w:rPr>
          <w:rFonts w:eastAsia="Times New Roman"/>
          <w:bCs/>
          <w:iCs/>
          <w:szCs w:val="28"/>
          <w:lang w:val="pt-BR"/>
        </w:rPr>
        <w:t xml:space="preserve">Bộ Tài chính đề xuất </w:t>
      </w:r>
      <w:r w:rsidRPr="00EE15ED">
        <w:rPr>
          <w:bCs/>
          <w:iCs/>
          <w:lang w:val="nl-NL"/>
        </w:rPr>
        <w:t>g</w:t>
      </w:r>
      <w:r w:rsidRPr="00EE15ED">
        <w:rPr>
          <w:bCs/>
          <w:iCs/>
          <w:lang w:val="pt-BR"/>
        </w:rPr>
        <w:t xml:space="preserve">iảm 2% thuế </w:t>
      </w:r>
      <w:r w:rsidRPr="00EE15ED">
        <w:rPr>
          <w:bCs/>
          <w:iCs/>
          <w:lang w:val="nl-NL"/>
        </w:rPr>
        <w:t xml:space="preserve">suất thuế </w:t>
      </w:r>
      <w:r w:rsidRPr="00EE15ED">
        <w:rPr>
          <w:bCs/>
          <w:iCs/>
          <w:lang w:val="pt-BR"/>
        </w:rPr>
        <w:t>GTGT, áp dụng đối với các nhóm hàng hóa, dịch vụ đang áp dụng mức thuế suất 10% (còn 8%)</w:t>
      </w:r>
      <w:r w:rsidRPr="00EE15ED">
        <w:rPr>
          <w:bCs/>
          <w:iCs/>
          <w:lang w:val="nl-NL"/>
        </w:rPr>
        <w:t xml:space="preserve">, </w:t>
      </w:r>
      <w:r w:rsidRPr="00EE15ED">
        <w:rPr>
          <w:bCs/>
          <w:iCs/>
          <w:lang w:val="pt-BR"/>
        </w:rPr>
        <w:t>trừ một số nhóm hàng hóa, dịch vụ sau:</w:t>
      </w:r>
      <w:r w:rsidRPr="00EE15ED">
        <w:rPr>
          <w:bCs/>
          <w:iCs/>
        </w:rPr>
        <w:t xml:space="preserve">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r w:rsidRPr="00EE15ED">
        <w:rPr>
          <w:noProof/>
          <w:szCs w:val="28"/>
          <w:lang w:val="sv-SE"/>
        </w:rPr>
        <w:t>.</w:t>
      </w:r>
    </w:p>
    <w:p w:rsidR="00E32E11" w:rsidRPr="00EE15ED" w:rsidRDefault="00E32E11" w:rsidP="00E32E11">
      <w:pPr>
        <w:ind w:firstLine="720"/>
        <w:jc w:val="both"/>
        <w:rPr>
          <w:i/>
          <w:szCs w:val="28"/>
          <w:lang w:val="pt-BR"/>
        </w:rPr>
      </w:pPr>
      <w:r w:rsidRPr="00EE15ED">
        <w:rPr>
          <w:rFonts w:eastAsia="Times New Roman"/>
          <w:bCs/>
          <w:i/>
          <w:iCs/>
          <w:szCs w:val="28"/>
          <w:lang w:val="pt-BR"/>
        </w:rPr>
        <w:t xml:space="preserve">- Lý do lựa chọn: </w:t>
      </w:r>
    </w:p>
    <w:p w:rsidR="00E32E11" w:rsidRPr="00EE15ED" w:rsidRDefault="00E32E11" w:rsidP="00E32E11">
      <w:pPr>
        <w:ind w:firstLine="720"/>
        <w:jc w:val="both"/>
        <w:rPr>
          <w:rFonts w:eastAsia="Times New Roman"/>
          <w:bCs/>
          <w:iCs/>
          <w:szCs w:val="28"/>
          <w:lang w:val="pt-BR"/>
        </w:rPr>
      </w:pPr>
      <w:r w:rsidRPr="00EE15ED">
        <w:rPr>
          <w:rFonts w:eastAsia="Times New Roman"/>
          <w:bCs/>
          <w:iCs/>
          <w:szCs w:val="28"/>
          <w:lang w:val="pt-BR"/>
        </w:rPr>
        <w:t>+ Luật thuế GTGT hiện hành quy định 02 mức thuế suất thuế GTGT 5% và 10% (không kể mức 0% áp dụng đối với hàng hóa, dịch vụ xuất khẩu; đối tượng không chịu thuế GTGT). Số thuế phải nộp = số thuế GTGT đầu ra - số thuế GTGT đầu vào. Hàng hóa, dịch vụ mua vào của cơ sở kinh doanh có loại áp dụng thuế suất 10%, 5% hoặc không chịu thuế GTGT. Do vậy, đối với hàng hóa, dịch vụ thuộc đối tượng chịu thuế GTGT 5% thì cơ bản số thuế GTGT đầu ra nhỏ hơn số thuế GTGT đầu vào nên cơ sở kinh doanh thường không phát sinh số thuế GTGT phải nộp. Đối với hàng hóa, dịch vụ thuộc đối tượng chịu thuế GTGT 10% thì sẽ phát sinh số thuế GTGT phải nộp (thuế GTGT đầu ra lớn hơn thuế GTGT đầu vào).</w:t>
      </w:r>
    </w:p>
    <w:p w:rsidR="00E32E11" w:rsidRPr="00EE15ED" w:rsidRDefault="00E32E11" w:rsidP="00E32E11">
      <w:pPr>
        <w:ind w:firstLine="720"/>
        <w:jc w:val="both"/>
        <w:rPr>
          <w:rFonts w:eastAsia="Times New Roman"/>
          <w:bCs/>
          <w:iCs/>
          <w:szCs w:val="28"/>
          <w:lang w:val="pt-BR"/>
        </w:rPr>
      </w:pPr>
      <w:r w:rsidRPr="00EE15ED">
        <w:rPr>
          <w:rFonts w:eastAsia="Times New Roman"/>
          <w:bCs/>
          <w:iCs/>
          <w:szCs w:val="28"/>
          <w:lang w:val="pt-BR"/>
        </w:rPr>
        <w:t xml:space="preserve">+ Việc thực hiện giảm thuế GTGT đối với các nhóm hàng hóa, dịch vụ trên đã được </w:t>
      </w:r>
      <w:r w:rsidRPr="00EE15ED">
        <w:rPr>
          <w:bCs/>
          <w:iCs/>
          <w:lang w:val="pt-BR"/>
        </w:rPr>
        <w:t xml:space="preserve">quy định tại </w:t>
      </w:r>
      <w:r w:rsidRPr="00EE15ED">
        <w:rPr>
          <w:rFonts w:eastAsia="Times New Roman"/>
          <w:bCs/>
          <w:iCs/>
          <w:szCs w:val="28"/>
          <w:lang w:val="pt-BR"/>
        </w:rPr>
        <w:t xml:space="preserve">Nghị quyết số 43/2022/QH15, </w:t>
      </w:r>
      <w:r w:rsidRPr="00EE15ED">
        <w:rPr>
          <w:rFonts w:eastAsia="Times New Roman"/>
          <w:bCs/>
          <w:iCs/>
          <w:szCs w:val="28"/>
          <w:lang w:val="nl-NL"/>
        </w:rPr>
        <w:t>Nghị quyết số 101/2023/QH15</w:t>
      </w:r>
      <w:r w:rsidR="00E26937" w:rsidRPr="00EE15ED">
        <w:rPr>
          <w:rFonts w:eastAsia="Times New Roman"/>
          <w:bCs/>
          <w:iCs/>
          <w:szCs w:val="28"/>
          <w:lang w:val="nl-NL"/>
        </w:rPr>
        <w:t>,</w:t>
      </w:r>
      <w:r w:rsidRPr="00EE15ED">
        <w:rPr>
          <w:rFonts w:eastAsia="Times New Roman"/>
          <w:bCs/>
          <w:iCs/>
          <w:szCs w:val="28"/>
          <w:lang w:val="nl-NL"/>
        </w:rPr>
        <w:t xml:space="preserve"> </w:t>
      </w:r>
      <w:r w:rsidR="00E26937" w:rsidRPr="00EE15ED">
        <w:rPr>
          <w:rFonts w:eastAsia="Times New Roman"/>
          <w:bCs/>
          <w:iCs/>
          <w:szCs w:val="28"/>
          <w:lang w:val="nl-NL"/>
        </w:rPr>
        <w:t xml:space="preserve">Nghị quyết số 110/2023/QH15 </w:t>
      </w:r>
      <w:r w:rsidRPr="00EE15ED">
        <w:rPr>
          <w:rFonts w:eastAsia="Times New Roman"/>
          <w:bCs/>
          <w:iCs/>
          <w:szCs w:val="28"/>
          <w:lang w:val="nl-NL"/>
        </w:rPr>
        <w:t xml:space="preserve">và thực hiện </w:t>
      </w:r>
      <w:r w:rsidR="00E26937" w:rsidRPr="00EE15ED">
        <w:rPr>
          <w:rFonts w:eastAsia="Times New Roman"/>
          <w:bCs/>
          <w:iCs/>
          <w:szCs w:val="28"/>
          <w:lang w:val="nl-NL"/>
        </w:rPr>
        <w:t>ổn định trong năm 2022,</w:t>
      </w:r>
      <w:r w:rsidRPr="00EE15ED">
        <w:rPr>
          <w:rFonts w:eastAsia="Times New Roman"/>
          <w:bCs/>
          <w:iCs/>
          <w:szCs w:val="28"/>
          <w:lang w:val="nl-NL"/>
        </w:rPr>
        <w:t xml:space="preserve"> năm 2023</w:t>
      </w:r>
      <w:r w:rsidR="00E26937" w:rsidRPr="00EE15ED">
        <w:rPr>
          <w:rFonts w:eastAsia="Times New Roman"/>
          <w:bCs/>
          <w:iCs/>
          <w:szCs w:val="28"/>
          <w:lang w:val="nl-NL"/>
        </w:rPr>
        <w:t xml:space="preserve"> và 6 tháng đầu năm 2024</w:t>
      </w:r>
      <w:r w:rsidRPr="00EE15ED">
        <w:rPr>
          <w:rFonts w:eastAsia="Times New Roman"/>
          <w:bCs/>
          <w:iCs/>
          <w:szCs w:val="28"/>
          <w:lang w:val="nl-NL"/>
        </w:rPr>
        <w:t xml:space="preserve">. </w:t>
      </w:r>
    </w:p>
    <w:p w:rsidR="00E32E11" w:rsidRPr="00EE15ED" w:rsidRDefault="00E32E11" w:rsidP="00E32E11">
      <w:pPr>
        <w:ind w:firstLine="720"/>
        <w:jc w:val="both"/>
        <w:rPr>
          <w:rFonts w:eastAsia="Times New Roman"/>
          <w:bCs/>
          <w:i/>
          <w:iCs/>
          <w:szCs w:val="28"/>
          <w:lang w:val="pt-BR"/>
        </w:rPr>
      </w:pPr>
      <w:r w:rsidRPr="00EE15ED">
        <w:rPr>
          <w:rFonts w:eastAsia="Times New Roman"/>
          <w:bCs/>
          <w:i/>
          <w:iCs/>
          <w:szCs w:val="28"/>
          <w:lang w:val="pt-BR"/>
        </w:rPr>
        <w:t>(</w:t>
      </w:r>
      <w:r w:rsidRPr="00EE15ED">
        <w:rPr>
          <w:i/>
          <w:szCs w:val="28"/>
          <w:lang w:val="nl-NL"/>
        </w:rPr>
        <w:t xml:space="preserve">Báo cáo tổng kết đánh giá </w:t>
      </w:r>
      <w:r w:rsidRPr="00EE15ED">
        <w:rPr>
          <w:rFonts w:eastAsia="Times New Roman"/>
          <w:i/>
          <w:szCs w:val="24"/>
          <w:lang w:val="nl-NL"/>
        </w:rPr>
        <w:t xml:space="preserve">tình hình thực hiện giảm thuế GTGT theo </w:t>
      </w:r>
      <w:r w:rsidRPr="00EE15ED">
        <w:rPr>
          <w:rFonts w:eastAsia="Times New Roman"/>
          <w:bCs/>
          <w:i/>
          <w:iCs/>
          <w:szCs w:val="24"/>
          <w:lang w:val="nl-NL"/>
        </w:rPr>
        <w:t>Nghị quyết số 1</w:t>
      </w:r>
      <w:r w:rsidR="00E26937" w:rsidRPr="00EE15ED">
        <w:rPr>
          <w:rFonts w:eastAsia="Times New Roman"/>
          <w:bCs/>
          <w:i/>
          <w:iCs/>
          <w:szCs w:val="24"/>
          <w:lang w:val="nl-NL"/>
        </w:rPr>
        <w:t>10</w:t>
      </w:r>
      <w:r w:rsidRPr="00EE15ED">
        <w:rPr>
          <w:rFonts w:eastAsia="Times New Roman"/>
          <w:bCs/>
          <w:i/>
          <w:iCs/>
          <w:szCs w:val="24"/>
          <w:lang w:val="nl-NL"/>
        </w:rPr>
        <w:t xml:space="preserve">/2023/QH15 ngày </w:t>
      </w:r>
      <w:r w:rsidR="00E26937" w:rsidRPr="00EE15ED">
        <w:rPr>
          <w:rFonts w:eastAsia="Times New Roman"/>
          <w:bCs/>
          <w:i/>
          <w:iCs/>
          <w:szCs w:val="24"/>
          <w:lang w:val="nl-NL"/>
        </w:rPr>
        <w:t>29/11</w:t>
      </w:r>
      <w:r w:rsidRPr="00EE15ED">
        <w:rPr>
          <w:rFonts w:eastAsia="Times New Roman"/>
          <w:bCs/>
          <w:i/>
          <w:iCs/>
          <w:szCs w:val="24"/>
          <w:lang w:val="nl-NL"/>
        </w:rPr>
        <w:t xml:space="preserve">/2023 của Quốc hội </w:t>
      </w:r>
      <w:r w:rsidRPr="00EE15ED">
        <w:rPr>
          <w:rFonts w:eastAsia="Times New Roman"/>
          <w:i/>
          <w:szCs w:val="24"/>
          <w:lang w:val="nl-NL"/>
        </w:rPr>
        <w:t xml:space="preserve">về Kỳ họp thứ </w:t>
      </w:r>
      <w:r w:rsidR="00E26937" w:rsidRPr="00EE15ED">
        <w:rPr>
          <w:rFonts w:eastAsia="Times New Roman"/>
          <w:i/>
          <w:szCs w:val="24"/>
          <w:lang w:val="nl-NL"/>
        </w:rPr>
        <w:t>6</w:t>
      </w:r>
      <w:r w:rsidRPr="00EE15ED">
        <w:rPr>
          <w:rFonts w:eastAsia="Times New Roman"/>
          <w:i/>
          <w:szCs w:val="24"/>
          <w:lang w:val="nl-NL"/>
        </w:rPr>
        <w:t xml:space="preserve"> Quốc hội khóa XV </w:t>
      </w:r>
      <w:r w:rsidR="0022751E" w:rsidRPr="00EE15ED">
        <w:rPr>
          <w:rFonts w:eastAsia="Times New Roman"/>
          <w:i/>
          <w:szCs w:val="24"/>
          <w:lang w:val="nl-NL"/>
        </w:rPr>
        <w:t xml:space="preserve">– nội dung như </w:t>
      </w:r>
      <w:r w:rsidR="00693A59">
        <w:rPr>
          <w:rFonts w:eastAsia="Times New Roman"/>
          <w:i/>
          <w:szCs w:val="28"/>
          <w:lang w:val="nl-NL"/>
        </w:rPr>
        <w:t>B</w:t>
      </w:r>
      <w:r w:rsidR="0022751E" w:rsidRPr="00EE15ED">
        <w:rPr>
          <w:rFonts w:eastAsia="Times New Roman"/>
          <w:i/>
          <w:szCs w:val="28"/>
          <w:lang w:val="nl-NL"/>
        </w:rPr>
        <w:t>áo cáo số 178/BC-CP</w:t>
      </w:r>
      <w:r w:rsidR="007278A6" w:rsidRPr="00EE15ED">
        <w:rPr>
          <w:rFonts w:eastAsia="Times New Roman"/>
          <w:i/>
          <w:szCs w:val="28"/>
          <w:lang w:val="nl-NL"/>
        </w:rPr>
        <w:t xml:space="preserve"> và cập nhật số liệu đến tháng 4/2024-</w:t>
      </w:r>
      <w:r w:rsidR="0022751E" w:rsidRPr="00EE15ED">
        <w:rPr>
          <w:rFonts w:eastAsia="Times New Roman"/>
          <w:szCs w:val="28"/>
          <w:lang w:val="nl-NL"/>
        </w:rPr>
        <w:t xml:space="preserve"> </w:t>
      </w:r>
      <w:r w:rsidRPr="00EE15ED">
        <w:rPr>
          <w:rFonts w:eastAsia="Times New Roman"/>
          <w:bCs/>
          <w:i/>
          <w:iCs/>
          <w:szCs w:val="28"/>
          <w:lang w:val="pt-BR"/>
        </w:rPr>
        <w:t>trình kèm)</w:t>
      </w:r>
      <w:bookmarkStart w:id="0" w:name="diem_a_1_1_3"/>
    </w:p>
    <w:bookmarkEnd w:id="0"/>
    <w:p w:rsidR="00E32E11" w:rsidRPr="00EE15ED" w:rsidRDefault="00E32E11" w:rsidP="00E32E11">
      <w:pPr>
        <w:ind w:firstLine="720"/>
        <w:jc w:val="both"/>
        <w:rPr>
          <w:rFonts w:eastAsia="Times New Roman"/>
          <w:bCs/>
          <w:iCs/>
          <w:szCs w:val="28"/>
          <w:lang w:val="pt-BR"/>
        </w:rPr>
      </w:pPr>
      <w:r w:rsidRPr="00EE15ED">
        <w:rPr>
          <w:rFonts w:eastAsia="Times New Roman"/>
          <w:bCs/>
          <w:i/>
          <w:iCs/>
          <w:szCs w:val="28"/>
        </w:rPr>
        <w:t>- Về thời gian áp dụng:</w:t>
      </w:r>
      <w:r w:rsidRPr="00EE15ED">
        <w:rPr>
          <w:rFonts w:eastAsia="Times New Roman"/>
          <w:bCs/>
          <w:iCs/>
          <w:szCs w:val="28"/>
        </w:rPr>
        <w:t xml:space="preserve"> </w:t>
      </w:r>
      <w:r w:rsidRPr="00EE15ED">
        <w:rPr>
          <w:rFonts w:eastAsia="Times New Roman"/>
          <w:bCs/>
          <w:iCs/>
          <w:szCs w:val="28"/>
          <w:lang w:val="pt-BR"/>
        </w:rPr>
        <w:t>Từ ngày 01/0</w:t>
      </w:r>
      <w:r w:rsidR="00E26937" w:rsidRPr="00EE15ED">
        <w:rPr>
          <w:rFonts w:eastAsia="Times New Roman"/>
          <w:bCs/>
          <w:iCs/>
          <w:szCs w:val="28"/>
          <w:lang w:val="pt-BR"/>
        </w:rPr>
        <w:t>7</w:t>
      </w:r>
      <w:r w:rsidRPr="00EE15ED">
        <w:rPr>
          <w:rFonts w:eastAsia="Times New Roman"/>
          <w:bCs/>
          <w:iCs/>
          <w:szCs w:val="28"/>
          <w:lang w:val="pt-BR"/>
        </w:rPr>
        <w:t xml:space="preserve">/2024 đến hết ngày </w:t>
      </w:r>
      <w:r w:rsidR="00E26937" w:rsidRPr="00EE15ED">
        <w:rPr>
          <w:rFonts w:eastAsia="Times New Roman"/>
          <w:bCs/>
          <w:iCs/>
          <w:szCs w:val="28"/>
          <w:lang w:val="pt-BR"/>
        </w:rPr>
        <w:t>31/12</w:t>
      </w:r>
      <w:r w:rsidRPr="00EE15ED">
        <w:rPr>
          <w:rFonts w:eastAsia="Times New Roman"/>
          <w:bCs/>
          <w:iCs/>
          <w:szCs w:val="28"/>
          <w:lang w:val="pt-BR"/>
        </w:rPr>
        <w:t>/2024.</w:t>
      </w:r>
    </w:p>
    <w:p w:rsidR="00E32E11" w:rsidRPr="00EE15ED" w:rsidRDefault="00E32E11" w:rsidP="00E32E11">
      <w:pPr>
        <w:ind w:firstLine="720"/>
        <w:jc w:val="both"/>
        <w:rPr>
          <w:szCs w:val="28"/>
          <w:lang w:val="pt-BR"/>
        </w:rPr>
      </w:pPr>
      <w:r w:rsidRPr="00EE15ED">
        <w:rPr>
          <w:bCs/>
          <w:i/>
          <w:iCs/>
          <w:szCs w:val="28"/>
          <w:lang w:val="sv-SE"/>
        </w:rPr>
        <w:t>- Hình thức thực hiện:</w:t>
      </w:r>
      <w:r w:rsidRPr="00EE15ED">
        <w:rPr>
          <w:bCs/>
          <w:iCs/>
          <w:szCs w:val="28"/>
          <w:lang w:val="sv-SE"/>
        </w:rPr>
        <w:t xml:space="preserve"> </w:t>
      </w:r>
      <w:r w:rsidRPr="00EE15ED">
        <w:rPr>
          <w:szCs w:val="28"/>
          <w:lang w:val="pt-BR"/>
        </w:rPr>
        <w:t xml:space="preserve">Nghị quyết của Quốc hội. </w:t>
      </w:r>
    </w:p>
    <w:p w:rsidR="00603244" w:rsidRPr="00EE15ED" w:rsidRDefault="00603244" w:rsidP="00603244">
      <w:pPr>
        <w:ind w:firstLine="720"/>
        <w:jc w:val="both"/>
        <w:rPr>
          <w:b/>
          <w:iCs/>
          <w:szCs w:val="28"/>
          <w:lang w:val="nl-NL"/>
        </w:rPr>
      </w:pPr>
      <w:r w:rsidRPr="00EE15ED">
        <w:rPr>
          <w:b/>
          <w:iCs/>
          <w:szCs w:val="28"/>
          <w:lang w:val="nl-NL"/>
        </w:rPr>
        <w:t>VI</w:t>
      </w:r>
      <w:r w:rsidRPr="00EE15ED">
        <w:rPr>
          <w:b/>
          <w:iCs/>
          <w:szCs w:val="28"/>
          <w:lang w:val="am-ET"/>
        </w:rPr>
        <w:t xml:space="preserve">. </w:t>
      </w:r>
      <w:r w:rsidRPr="00EE15ED">
        <w:rPr>
          <w:b/>
          <w:iCs/>
          <w:szCs w:val="28"/>
          <w:lang w:val="nl-NL"/>
        </w:rPr>
        <w:t>TÍNH TƯƠNG THÍCH, SỰ PHÙ HỢP CỦA NỘI DUNG CHÍNH SÁCH ĐƯỢC ĐỀ XUẤT VỚI CÁC CAM KẾT QUỐC TẾ CỦA VIỆT NAM</w:t>
      </w:r>
    </w:p>
    <w:p w:rsidR="00E32E11" w:rsidRPr="00EE15ED" w:rsidRDefault="00E32E11" w:rsidP="00E32E11">
      <w:pPr>
        <w:ind w:firstLine="720"/>
        <w:jc w:val="both"/>
        <w:rPr>
          <w:b/>
          <w:szCs w:val="28"/>
          <w:lang w:val="nl-NL"/>
        </w:rPr>
      </w:pPr>
      <w:r w:rsidRPr="00EE15ED">
        <w:rPr>
          <w:iCs/>
          <w:szCs w:val="28"/>
          <w:lang w:val="nl-NL"/>
        </w:rPr>
        <w:t xml:space="preserve">Qua rà soát về các Điều ước quốc tế có liên quan mà Việt Nam là thành viên, các nội dung chính sách được đề xuất đều đảm bảo phù hợp với các cam kết quốc tế của Việt Nam và không trái với các cam kết tại các Điều ước quốc tế mà Việt Nam đã tham gia và là thành viên. </w:t>
      </w:r>
    </w:p>
    <w:p w:rsidR="00603244" w:rsidRPr="00EE15ED" w:rsidRDefault="00603244" w:rsidP="00603244">
      <w:pPr>
        <w:ind w:firstLine="720"/>
        <w:jc w:val="both"/>
        <w:rPr>
          <w:b/>
          <w:szCs w:val="28"/>
          <w:lang w:val="it-IT"/>
        </w:rPr>
      </w:pPr>
      <w:r w:rsidRPr="00EE15ED">
        <w:rPr>
          <w:b/>
          <w:szCs w:val="28"/>
          <w:lang w:val="it-IT"/>
        </w:rPr>
        <w:t xml:space="preserve">VII. </w:t>
      </w:r>
      <w:r w:rsidRPr="00EE15ED">
        <w:rPr>
          <w:b/>
          <w:szCs w:val="28"/>
          <w:lang w:val="nl-NL"/>
        </w:rPr>
        <w:t>DỰ KIẾN NGUỒN LỰC, ĐIỀU KIỆN BẢO ĐẢM CHO VIỆC THI HÀNH NGHỊ QUYẾT</w:t>
      </w:r>
    </w:p>
    <w:p w:rsidR="00A51E73" w:rsidRPr="00EE15ED" w:rsidRDefault="00A51E73" w:rsidP="00A51E73">
      <w:pPr>
        <w:ind w:firstLine="720"/>
        <w:jc w:val="both"/>
        <w:rPr>
          <w:szCs w:val="28"/>
          <w:lang w:val="nl-NL"/>
        </w:rPr>
      </w:pPr>
      <w:r w:rsidRPr="00EE15ED">
        <w:rPr>
          <w:b/>
          <w:szCs w:val="28"/>
          <w:lang w:val="nl-NL"/>
        </w:rPr>
        <w:t xml:space="preserve">1. </w:t>
      </w:r>
      <w:r w:rsidRPr="00EE15ED">
        <w:rPr>
          <w:szCs w:val="28"/>
          <w:lang w:val="nl-NL"/>
        </w:rPr>
        <w:t>Dự kiến nguồn lực để thi hành Nghị quyết như sau:</w:t>
      </w:r>
    </w:p>
    <w:p w:rsidR="00A51E73" w:rsidRPr="00EE15ED" w:rsidRDefault="00A51E73" w:rsidP="00A51E73">
      <w:pPr>
        <w:ind w:firstLine="720"/>
        <w:jc w:val="both"/>
        <w:rPr>
          <w:szCs w:val="28"/>
          <w:lang w:val="nl-NL"/>
        </w:rPr>
      </w:pPr>
      <w:r w:rsidRPr="00EE15ED">
        <w:rPr>
          <w:szCs w:val="28"/>
          <w:lang w:val="nl-NL"/>
        </w:rPr>
        <w:t>- Từ nguồn ngân sách trung ương và ngân sách địa phương;</w:t>
      </w:r>
    </w:p>
    <w:p w:rsidR="00A51E73" w:rsidRPr="00EE15ED" w:rsidRDefault="00A51E73" w:rsidP="00A51E73">
      <w:pPr>
        <w:ind w:firstLine="720"/>
        <w:jc w:val="both"/>
        <w:rPr>
          <w:szCs w:val="28"/>
          <w:lang w:val="nl-NL"/>
        </w:rPr>
      </w:pPr>
      <w:r w:rsidRPr="00EE15ED">
        <w:rPr>
          <w:szCs w:val="28"/>
          <w:lang w:val="nl-NL"/>
        </w:rPr>
        <w:t>- Từ các nguồn kinh phí hợp pháp khác.</w:t>
      </w:r>
    </w:p>
    <w:p w:rsidR="00A51E73" w:rsidRPr="00EE15ED" w:rsidRDefault="00A51E73" w:rsidP="00A51E73">
      <w:pPr>
        <w:ind w:firstLine="720"/>
        <w:jc w:val="both"/>
        <w:rPr>
          <w:szCs w:val="28"/>
          <w:lang w:val="nl-NL"/>
        </w:rPr>
      </w:pPr>
      <w:r w:rsidRPr="00EE15ED">
        <w:rPr>
          <w:b/>
          <w:szCs w:val="28"/>
          <w:lang w:val="nl-NL"/>
        </w:rPr>
        <w:lastRenderedPageBreak/>
        <w:t>2.</w:t>
      </w:r>
      <w:r w:rsidRPr="00EE15ED">
        <w:rPr>
          <w:szCs w:val="28"/>
          <w:lang w:val="nl-NL"/>
        </w:rPr>
        <w:t xml:space="preserve"> Điều kiện bảo đảm cho việc thi hành Nghị quyết</w:t>
      </w:r>
    </w:p>
    <w:p w:rsidR="00A51E73" w:rsidRPr="00EE15ED" w:rsidRDefault="00A51E73" w:rsidP="00A51E73">
      <w:pPr>
        <w:ind w:firstLine="720"/>
        <w:jc w:val="both"/>
        <w:rPr>
          <w:szCs w:val="28"/>
          <w:lang w:val="nl-NL"/>
        </w:rPr>
      </w:pPr>
      <w:r w:rsidRPr="00EE15ED">
        <w:rPr>
          <w:szCs w:val="28"/>
          <w:lang w:val="nl-NL"/>
        </w:rPr>
        <w:t>Điều kiện bảo đảm cho việc thi hành Nghị quyết bao gồm các nội dung được xác định như sau:</w:t>
      </w:r>
    </w:p>
    <w:p w:rsidR="00A51E73" w:rsidRPr="00EE15ED" w:rsidRDefault="00A51E73" w:rsidP="00A51E73">
      <w:pPr>
        <w:ind w:firstLine="720"/>
        <w:jc w:val="both"/>
        <w:rPr>
          <w:szCs w:val="28"/>
          <w:lang w:val="nl-NL"/>
        </w:rPr>
      </w:pPr>
      <w:r w:rsidRPr="00EE15ED">
        <w:rPr>
          <w:szCs w:val="28"/>
          <w:lang w:val="nl-NL"/>
        </w:rPr>
        <w:t>- Tuyên truyền, phổ biến Nghị quyết: Các Bộ, cơ quan ngang Bộ, cơ quan thuộc Chính phủ trong phạm vi chức năng, nhiệm vụ thực hiện phổ biến, giáo dục Nghị quyết và các quy định liên quan; Bộ Tài chính xây dựng nội dung thông tin, tuyên truyền phổ biến những yêu cầu, nội dung và các quy định của Nghị quyết kịp thời đến các cơ quan, tổ chức và người dân, giúp hiểu biết, nắm bắt pháp luật kịp thời để thực hiện.</w:t>
      </w:r>
    </w:p>
    <w:p w:rsidR="00A51E73" w:rsidRPr="00EE15ED" w:rsidRDefault="00A51E73" w:rsidP="00A51E73">
      <w:pPr>
        <w:ind w:firstLine="720"/>
        <w:jc w:val="both"/>
        <w:rPr>
          <w:szCs w:val="28"/>
          <w:lang w:val="nl-NL"/>
        </w:rPr>
      </w:pPr>
      <w:r w:rsidRPr="00EE15ED">
        <w:rPr>
          <w:szCs w:val="28"/>
          <w:lang w:val="nl-NL"/>
        </w:rPr>
        <w:t>- Bảo đảm nguồn lực thực hiện:</w:t>
      </w:r>
    </w:p>
    <w:p w:rsidR="00A51E73" w:rsidRPr="00EE15ED" w:rsidRDefault="00A51E73" w:rsidP="00A51E73">
      <w:pPr>
        <w:ind w:firstLine="720"/>
        <w:jc w:val="both"/>
        <w:rPr>
          <w:szCs w:val="28"/>
          <w:lang w:val="nl-NL"/>
        </w:rPr>
      </w:pPr>
      <w:r w:rsidRPr="00EE15ED">
        <w:rPr>
          <w:szCs w:val="28"/>
          <w:lang w:val="nl-NL"/>
        </w:rPr>
        <w:t>+ Bộ Tài chính có chỉ đạo, hướng dẫn cụ thể để Cục Thuế và Cục Hải quan các tỉnh, thành phố trực thuộc trung ương tổ chức triển khai thực hiện Nghị quyết.</w:t>
      </w:r>
    </w:p>
    <w:p w:rsidR="00A51E73" w:rsidRPr="00EE15ED" w:rsidRDefault="00A51E73" w:rsidP="00A51E73">
      <w:pPr>
        <w:ind w:firstLine="720"/>
        <w:jc w:val="both"/>
        <w:rPr>
          <w:szCs w:val="28"/>
          <w:lang w:val="nl-NL"/>
        </w:rPr>
      </w:pPr>
      <w:r w:rsidRPr="00EE15ED">
        <w:rPr>
          <w:szCs w:val="28"/>
          <w:lang w:val="nl-NL"/>
        </w:rPr>
        <w:t>+ Được bố trí nguồn kinh phí để thực hiện các quy định trong Nghị quyết, ngoài nguồn kinh phí do NSNN cấp, huy động nguồn lực từ cơ quan, đơn vị và địa phương, hỗ trợ của các tổ chức xã hội, tổ chức quốc tế hoặc lồng ghép vào các chương trình, dự án khác để có nguồn kinh phí bảo đảm cho việc thực hiện Nghị quyết. </w:t>
      </w:r>
    </w:p>
    <w:p w:rsidR="00A51E73" w:rsidRPr="00EE15ED" w:rsidRDefault="00A51E73" w:rsidP="00A51E73">
      <w:pPr>
        <w:ind w:firstLine="720"/>
        <w:jc w:val="both"/>
        <w:rPr>
          <w:szCs w:val="28"/>
          <w:lang w:val="nl-NL"/>
        </w:rPr>
      </w:pPr>
      <w:r w:rsidRPr="00EE15ED">
        <w:rPr>
          <w:szCs w:val="28"/>
          <w:lang w:val="nl-NL"/>
        </w:rPr>
        <w:t>- Kiểm tra, thanh tra, giám sát tình hình thực hiện:</w:t>
      </w:r>
    </w:p>
    <w:p w:rsidR="00A51E73" w:rsidRPr="00EE15ED" w:rsidRDefault="00A51E73" w:rsidP="00A51E73">
      <w:pPr>
        <w:ind w:firstLine="720"/>
        <w:jc w:val="both"/>
        <w:rPr>
          <w:szCs w:val="28"/>
          <w:lang w:val="nl-NL"/>
        </w:rPr>
      </w:pPr>
      <w:r w:rsidRPr="00EE15ED">
        <w:rPr>
          <w:szCs w:val="28"/>
          <w:lang w:val="nl-NL"/>
        </w:rPr>
        <w:t>Thực hiện công tác kiểm tra, thanh tra, giám sát tình hình thi hành Nghị quyết.</w:t>
      </w:r>
    </w:p>
    <w:p w:rsidR="00603244" w:rsidRPr="00EE15ED" w:rsidRDefault="00603244" w:rsidP="00603244">
      <w:pPr>
        <w:ind w:firstLine="720"/>
        <w:jc w:val="both"/>
        <w:rPr>
          <w:szCs w:val="28"/>
          <w:lang w:val="it-IT"/>
        </w:rPr>
      </w:pPr>
      <w:r w:rsidRPr="00EE15ED">
        <w:rPr>
          <w:b/>
          <w:szCs w:val="28"/>
          <w:lang w:val="nl-NL"/>
        </w:rPr>
        <w:t>VIII.</w:t>
      </w:r>
      <w:r w:rsidRPr="00EE15ED">
        <w:rPr>
          <w:szCs w:val="28"/>
          <w:lang w:val="nl-NL"/>
        </w:rPr>
        <w:t xml:space="preserve"> </w:t>
      </w:r>
      <w:r w:rsidRPr="00EE15ED">
        <w:rPr>
          <w:b/>
          <w:szCs w:val="28"/>
          <w:lang w:val="nl-NL"/>
        </w:rPr>
        <w:t>THỜI GIAN DỰ KIẾN TRÌNH ỦY BAN THƯỜNG VỤ QUỐC HỘI, QUỐC HỘI</w:t>
      </w:r>
    </w:p>
    <w:p w:rsidR="00CB714F" w:rsidRPr="00EE15ED" w:rsidRDefault="0022751E" w:rsidP="0022751E">
      <w:pPr>
        <w:ind w:firstLine="720"/>
        <w:jc w:val="both"/>
        <w:rPr>
          <w:szCs w:val="28"/>
          <w:lang w:val="nl-NL"/>
        </w:rPr>
      </w:pPr>
      <w:r w:rsidRPr="00EE15ED">
        <w:rPr>
          <w:szCs w:val="28"/>
          <w:lang w:val="it-IT"/>
        </w:rPr>
        <w:t>Căn cứ quy định t</w:t>
      </w:r>
      <w:r w:rsidR="00CB714F" w:rsidRPr="00EE15ED">
        <w:rPr>
          <w:szCs w:val="28"/>
          <w:lang w:val="it-IT"/>
        </w:rPr>
        <w:t>ại Điều 146 Luật Ban hành văn bản quy phạm pháp luật quy định về các trường hợp xây dựng, ban hành văn bản quy phạm pháp luật theo trình tự, thủ tục rút gọn</w:t>
      </w:r>
      <w:r w:rsidR="00693A59">
        <w:rPr>
          <w:szCs w:val="28"/>
          <w:lang w:val="it-IT"/>
        </w:rPr>
        <w:t xml:space="preserve"> “</w:t>
      </w:r>
      <w:r w:rsidR="00CB714F" w:rsidRPr="00EE15ED">
        <w:rPr>
          <w:szCs w:val="28"/>
          <w:lang w:val="it-IT"/>
        </w:rPr>
        <w:t>trường hợp cấp bách để giải quyết những vấn đề phát sinh trong thực tiễn</w:t>
      </w:r>
      <w:r w:rsidRPr="00EE15ED">
        <w:rPr>
          <w:szCs w:val="28"/>
          <w:lang w:val="it-IT"/>
        </w:rPr>
        <w:t>”, quy định t</w:t>
      </w:r>
      <w:r w:rsidR="00CB714F" w:rsidRPr="00EE15ED">
        <w:rPr>
          <w:szCs w:val="28"/>
          <w:lang w:val="it-IT"/>
        </w:rPr>
        <w:t>ại Điều 147 Luật Ban hành văn bản quy phạm pháp luật</w:t>
      </w:r>
      <w:r w:rsidRPr="00EE15ED">
        <w:rPr>
          <w:szCs w:val="28"/>
          <w:lang w:val="it-IT"/>
        </w:rPr>
        <w:t>: “</w:t>
      </w:r>
      <w:r w:rsidR="00CB714F" w:rsidRPr="00EE15ED">
        <w:rPr>
          <w:szCs w:val="28"/>
          <w:lang w:val="it-IT"/>
        </w:rPr>
        <w:t>trình Quốc hội quyết định việc áp dụng trình tự, thủ tục rút gọn trong xây dựng, ban hành luật, nghị quyết của Quốc hội</w:t>
      </w:r>
      <w:r w:rsidRPr="00EE15ED">
        <w:rPr>
          <w:szCs w:val="28"/>
          <w:lang w:val="it-IT"/>
        </w:rPr>
        <w:t xml:space="preserve">”, </w:t>
      </w:r>
      <w:r w:rsidR="00CB714F" w:rsidRPr="00EE15ED">
        <w:rPr>
          <w:szCs w:val="28"/>
          <w:lang w:val="it-IT"/>
        </w:rPr>
        <w:t>Bộ Tài chính trình Chính phủ:</w:t>
      </w:r>
    </w:p>
    <w:p w:rsidR="00CB714F" w:rsidRPr="00EE15ED" w:rsidRDefault="00CB714F" w:rsidP="009E04CD">
      <w:pPr>
        <w:widowControl w:val="0"/>
        <w:ind w:firstLine="720"/>
        <w:jc w:val="both"/>
        <w:rPr>
          <w:rFonts w:eastAsia="Arial"/>
          <w:szCs w:val="28"/>
          <w:lang w:val="nl-NL"/>
        </w:rPr>
      </w:pPr>
      <w:r w:rsidRPr="00EE15ED">
        <w:rPr>
          <w:rFonts w:eastAsia="Arial"/>
          <w:szCs w:val="28"/>
          <w:lang w:val="nl-NL"/>
        </w:rPr>
        <w:t xml:space="preserve">- Trình UBTVQH, Quốc hội cho phép xây dựng dự án Nghị quyết của Quốc hội về giảm </w:t>
      </w:r>
      <w:r w:rsidRPr="00EE15ED">
        <w:rPr>
          <w:szCs w:val="28"/>
          <w:lang w:val="nl-NL"/>
        </w:rPr>
        <w:t>thuế GTGT</w:t>
      </w:r>
      <w:r w:rsidRPr="00EE15ED">
        <w:rPr>
          <w:rFonts w:eastAsia="Arial"/>
          <w:szCs w:val="28"/>
          <w:lang w:val="nl-NL"/>
        </w:rPr>
        <w:t xml:space="preserve"> theo trình tự, thủ tục rút gọn theo quy định của Luật Ban hành văn bản quy phạm pháp luật.</w:t>
      </w:r>
    </w:p>
    <w:p w:rsidR="0037546F" w:rsidRPr="00EE15ED" w:rsidRDefault="00CB714F" w:rsidP="009E04CD">
      <w:pPr>
        <w:ind w:firstLine="720"/>
        <w:jc w:val="both"/>
        <w:rPr>
          <w:rFonts w:eastAsia="Arial"/>
          <w:szCs w:val="28"/>
          <w:lang w:val="nl-NL"/>
        </w:rPr>
      </w:pPr>
      <w:r w:rsidRPr="00EE15ED">
        <w:rPr>
          <w:rFonts w:eastAsia="Arial"/>
          <w:szCs w:val="28"/>
          <w:lang w:val="nl-NL"/>
        </w:rPr>
        <w:t xml:space="preserve">- Giao Bộ trưởng Bộ Tư pháp thay mặt Chính phủ thừa ủy quyền Thủ tướng Chính phủ ký Tờ trình </w:t>
      </w:r>
      <w:r w:rsidR="00693A59">
        <w:rPr>
          <w:rFonts w:eastAsia="Arial"/>
          <w:szCs w:val="28"/>
          <w:lang w:val="nl-NL"/>
        </w:rPr>
        <w:t xml:space="preserve">UBTVQH, </w:t>
      </w:r>
      <w:r w:rsidRPr="00EE15ED">
        <w:rPr>
          <w:rFonts w:eastAsia="Arial"/>
          <w:szCs w:val="28"/>
          <w:lang w:val="nl-NL"/>
        </w:rPr>
        <w:t>Quốc hội để bổ sung dự án Nghị quyết vào Chương trình xây dựng luật, pháp lệnh năm 202</w:t>
      </w:r>
      <w:r w:rsidR="00A34CFA" w:rsidRPr="00EE15ED">
        <w:rPr>
          <w:rFonts w:eastAsia="Arial"/>
          <w:szCs w:val="28"/>
          <w:lang w:val="nl-NL"/>
        </w:rPr>
        <w:t>4</w:t>
      </w:r>
      <w:r w:rsidRPr="00EE15ED">
        <w:rPr>
          <w:rFonts w:eastAsia="Arial"/>
          <w:szCs w:val="28"/>
          <w:lang w:val="nl-NL"/>
        </w:rPr>
        <w:t xml:space="preserve"> của Quốc hội theo trình tự, thủ tục rút gọn theo quy định của Luật Ban hành văn bản quy phạm pháp luật và thông qua ngay tại kỳ họp thứ </w:t>
      </w:r>
      <w:r w:rsidR="00A34CFA" w:rsidRPr="00EE15ED">
        <w:rPr>
          <w:rFonts w:eastAsia="Arial"/>
          <w:szCs w:val="28"/>
          <w:lang w:val="nl-NL"/>
        </w:rPr>
        <w:t>7</w:t>
      </w:r>
      <w:r w:rsidRPr="00EE15ED">
        <w:rPr>
          <w:rFonts w:eastAsia="Arial"/>
          <w:szCs w:val="28"/>
          <w:lang w:val="nl-NL"/>
        </w:rPr>
        <w:t xml:space="preserve"> Quốc hội khóa XV.</w:t>
      </w:r>
    </w:p>
    <w:p w:rsidR="00A22A7F" w:rsidRPr="00EE15ED" w:rsidRDefault="00EA30F3" w:rsidP="009E04CD">
      <w:pPr>
        <w:ind w:firstLine="720"/>
        <w:jc w:val="both"/>
        <w:rPr>
          <w:bCs/>
          <w:iCs/>
          <w:szCs w:val="28"/>
          <w:lang w:val="sv-SE"/>
        </w:rPr>
      </w:pPr>
      <w:r w:rsidRPr="00EE15ED">
        <w:rPr>
          <w:szCs w:val="28"/>
          <w:lang w:val="it-IT"/>
        </w:rPr>
        <w:t xml:space="preserve">Bộ Tài chính trình </w:t>
      </w:r>
      <w:r w:rsidRPr="00EE15ED">
        <w:rPr>
          <w:lang w:val="it-IT"/>
        </w:rPr>
        <w:t>Chính phủ xem xét, quyết định</w:t>
      </w:r>
      <w:r w:rsidR="00A22A7F" w:rsidRPr="00EE15ED">
        <w:rPr>
          <w:rFonts w:eastAsia="Arial"/>
          <w:szCs w:val="28"/>
          <w:lang w:val="nl-NL"/>
        </w:rPr>
        <w:t>.</w:t>
      </w:r>
      <w:r w:rsidR="00EB7D89" w:rsidRPr="00EE15ED">
        <w:rPr>
          <w:rFonts w:eastAsia="Arial"/>
          <w:szCs w:val="28"/>
          <w:lang w:val="nl-NL"/>
        </w:rPr>
        <w:t>/.</w:t>
      </w:r>
    </w:p>
    <w:p w:rsidR="00232766" w:rsidRPr="00EE15ED" w:rsidRDefault="00232766" w:rsidP="00904A70">
      <w:pPr>
        <w:spacing w:after="240"/>
        <w:ind w:firstLine="720"/>
        <w:jc w:val="both"/>
        <w:rPr>
          <w:rFonts w:eastAsia="Times New Roman"/>
          <w:i/>
          <w:szCs w:val="28"/>
          <w:lang w:val="nl-NL"/>
        </w:rPr>
      </w:pPr>
      <w:r w:rsidRPr="00EE15ED">
        <w:rPr>
          <w:i/>
          <w:szCs w:val="28"/>
          <w:lang w:val="nl-NL"/>
        </w:rPr>
        <w:t xml:space="preserve">(Xin trình kèm: </w:t>
      </w:r>
      <w:r w:rsidR="00EA30F3" w:rsidRPr="00EE15ED">
        <w:rPr>
          <w:i/>
          <w:szCs w:val="28"/>
          <w:lang w:val="nl-NL"/>
        </w:rPr>
        <w:t xml:space="preserve">Dự thảo Nghị quyết; </w:t>
      </w:r>
      <w:r w:rsidRPr="00EE15ED">
        <w:rPr>
          <w:i/>
          <w:szCs w:val="28"/>
          <w:lang w:val="nl-NL"/>
        </w:rPr>
        <w:t>Báo cáo tổng kết đánh giá</w:t>
      </w:r>
      <w:r w:rsidR="004F4DD0" w:rsidRPr="00EE15ED">
        <w:rPr>
          <w:i/>
          <w:szCs w:val="28"/>
          <w:lang w:val="nl-NL"/>
        </w:rPr>
        <w:t xml:space="preserve"> </w:t>
      </w:r>
      <w:r w:rsidR="004F4DD0" w:rsidRPr="00EE15ED">
        <w:rPr>
          <w:rFonts w:eastAsia="Times New Roman"/>
          <w:i/>
          <w:szCs w:val="28"/>
          <w:lang w:val="nl-NL"/>
        </w:rPr>
        <w:t xml:space="preserve">tình hình thực hiện giảm thuế </w:t>
      </w:r>
      <w:r w:rsidR="00EA30F3" w:rsidRPr="00EE15ED">
        <w:rPr>
          <w:rFonts w:eastAsia="Times New Roman"/>
          <w:i/>
          <w:szCs w:val="28"/>
          <w:lang w:val="nl-NL"/>
        </w:rPr>
        <w:t>GTGT</w:t>
      </w:r>
      <w:r w:rsidR="004F4DD0" w:rsidRPr="00EE15ED">
        <w:rPr>
          <w:rFonts w:eastAsia="Times New Roman"/>
          <w:i/>
          <w:szCs w:val="28"/>
          <w:lang w:val="nl-NL"/>
        </w:rPr>
        <w:t xml:space="preserve"> theo </w:t>
      </w:r>
      <w:r w:rsidR="00EA30F3" w:rsidRPr="00EE15ED">
        <w:rPr>
          <w:rFonts w:eastAsia="Times New Roman"/>
          <w:bCs/>
          <w:i/>
          <w:iCs/>
          <w:szCs w:val="28"/>
          <w:lang w:val="nl-NL"/>
        </w:rPr>
        <w:t xml:space="preserve">Nghị quyết số </w:t>
      </w:r>
      <w:r w:rsidR="00A34CFA" w:rsidRPr="00EE15ED">
        <w:rPr>
          <w:rFonts w:eastAsia="Times New Roman"/>
          <w:bCs/>
          <w:i/>
          <w:iCs/>
          <w:szCs w:val="28"/>
          <w:lang w:val="nl-NL"/>
        </w:rPr>
        <w:t>1</w:t>
      </w:r>
      <w:r w:rsidR="00EA30F3" w:rsidRPr="00EE15ED">
        <w:rPr>
          <w:rFonts w:eastAsia="Times New Roman"/>
          <w:bCs/>
          <w:i/>
          <w:iCs/>
          <w:szCs w:val="28"/>
          <w:lang w:val="nl-NL"/>
        </w:rPr>
        <w:t>1</w:t>
      </w:r>
      <w:r w:rsidR="00A34CFA" w:rsidRPr="00EE15ED">
        <w:rPr>
          <w:rFonts w:eastAsia="Times New Roman"/>
          <w:bCs/>
          <w:i/>
          <w:iCs/>
          <w:szCs w:val="28"/>
          <w:lang w:val="nl-NL"/>
        </w:rPr>
        <w:t>0</w:t>
      </w:r>
      <w:r w:rsidR="00EA30F3" w:rsidRPr="00EE15ED">
        <w:rPr>
          <w:rFonts w:eastAsia="Times New Roman"/>
          <w:bCs/>
          <w:i/>
          <w:iCs/>
          <w:szCs w:val="28"/>
          <w:lang w:val="nl-NL"/>
        </w:rPr>
        <w:t xml:space="preserve">/2023/QH15 ngày </w:t>
      </w:r>
      <w:r w:rsidR="00A34CFA" w:rsidRPr="00EE15ED">
        <w:rPr>
          <w:rFonts w:eastAsia="Times New Roman"/>
          <w:bCs/>
          <w:i/>
          <w:iCs/>
          <w:szCs w:val="28"/>
          <w:lang w:val="nl-NL"/>
        </w:rPr>
        <w:lastRenderedPageBreak/>
        <w:t>29/11</w:t>
      </w:r>
      <w:r w:rsidR="00EA30F3" w:rsidRPr="00EE15ED">
        <w:rPr>
          <w:rFonts w:eastAsia="Times New Roman"/>
          <w:bCs/>
          <w:i/>
          <w:iCs/>
          <w:szCs w:val="28"/>
          <w:lang w:val="nl-NL"/>
        </w:rPr>
        <w:t xml:space="preserve">/2023 </w:t>
      </w:r>
      <w:r w:rsidR="00EA30F3" w:rsidRPr="00EE15ED">
        <w:rPr>
          <w:rFonts w:eastAsia="Times New Roman"/>
          <w:i/>
          <w:szCs w:val="28"/>
          <w:lang w:val="nl-NL"/>
        </w:rPr>
        <w:t xml:space="preserve">về Kỳ họp thứ </w:t>
      </w:r>
      <w:r w:rsidR="00A34CFA" w:rsidRPr="00EE15ED">
        <w:rPr>
          <w:rFonts w:eastAsia="Times New Roman"/>
          <w:i/>
          <w:szCs w:val="28"/>
          <w:lang w:val="nl-NL"/>
        </w:rPr>
        <w:t>6</w:t>
      </w:r>
      <w:r w:rsidR="00EA30F3" w:rsidRPr="00EE15ED">
        <w:rPr>
          <w:rFonts w:eastAsia="Times New Roman"/>
          <w:i/>
          <w:szCs w:val="28"/>
          <w:lang w:val="nl-NL"/>
        </w:rPr>
        <w:t xml:space="preserve"> Quốc hội khóa XV</w:t>
      </w:r>
      <w:r w:rsidR="006F3C9B" w:rsidRPr="00EE15ED">
        <w:rPr>
          <w:rFonts w:eastAsia="Times New Roman"/>
          <w:i/>
          <w:szCs w:val="28"/>
          <w:lang w:val="nl-NL"/>
        </w:rPr>
        <w:t xml:space="preserve">; </w:t>
      </w:r>
      <w:r w:rsidR="006F3C9B" w:rsidRPr="00EE15ED">
        <w:rPr>
          <w:i/>
          <w:szCs w:val="28"/>
          <w:lang w:val="nl-NL"/>
        </w:rPr>
        <w:t xml:space="preserve">Báo cáo đánh giá tác động; </w:t>
      </w:r>
      <w:r w:rsidR="006F3C9B" w:rsidRPr="00EE15ED">
        <w:rPr>
          <w:rFonts w:eastAsia="Times New Roman"/>
          <w:i/>
          <w:szCs w:val="24"/>
          <w:lang w:val="nl-NL"/>
        </w:rPr>
        <w:t>Báo cáo tiếp thu, giải trình ý kiến tham gia góp ý của các Bộ, ngành, địa phương, tổ chức, cá nhân</w:t>
      </w:r>
      <w:r w:rsidR="00EA30F3" w:rsidRPr="00EE15ED">
        <w:rPr>
          <w:rFonts w:eastAsia="Times New Roman"/>
          <w:i/>
          <w:szCs w:val="28"/>
          <w:lang w:val="nl-NL"/>
        </w:rPr>
        <w:t>)</w:t>
      </w:r>
    </w:p>
    <w:tbl>
      <w:tblPr>
        <w:tblW w:w="20137" w:type="dxa"/>
        <w:tblCellSpacing w:w="0" w:type="dxa"/>
        <w:tblInd w:w="63" w:type="dxa"/>
        <w:shd w:val="clear" w:color="auto" w:fill="FFFFFF"/>
        <w:tblCellMar>
          <w:left w:w="0" w:type="dxa"/>
          <w:right w:w="0" w:type="dxa"/>
        </w:tblCellMar>
        <w:tblLook w:val="04A0"/>
      </w:tblPr>
      <w:tblGrid>
        <w:gridCol w:w="10137"/>
        <w:gridCol w:w="10000"/>
      </w:tblGrid>
      <w:tr w:rsidR="008B5107" w:rsidRPr="005C11B5" w:rsidTr="008B5107">
        <w:trPr>
          <w:tblCellSpacing w:w="0" w:type="dxa"/>
        </w:trPr>
        <w:tc>
          <w:tcPr>
            <w:tcW w:w="10137" w:type="dxa"/>
            <w:shd w:val="clear" w:color="auto" w:fill="FFFFFF"/>
            <w:tcMar>
              <w:top w:w="0" w:type="dxa"/>
              <w:left w:w="108" w:type="dxa"/>
              <w:bottom w:w="0" w:type="dxa"/>
              <w:right w:w="108" w:type="dxa"/>
            </w:tcMar>
            <w:hideMark/>
          </w:tcPr>
          <w:tbl>
            <w:tblPr>
              <w:tblW w:w="9630" w:type="dxa"/>
              <w:tblInd w:w="108" w:type="dxa"/>
              <w:tblLook w:val="0000"/>
            </w:tblPr>
            <w:tblGrid>
              <w:gridCol w:w="5074"/>
              <w:gridCol w:w="4556"/>
            </w:tblGrid>
            <w:tr w:rsidR="008B5107" w:rsidRPr="00EE15ED" w:rsidTr="00E3648B">
              <w:trPr>
                <w:trHeight w:val="1259"/>
              </w:trPr>
              <w:tc>
                <w:tcPr>
                  <w:tcW w:w="5074" w:type="dxa"/>
                </w:tcPr>
                <w:p w:rsidR="00603244" w:rsidRPr="00EE15ED" w:rsidRDefault="00603244" w:rsidP="00603244">
                  <w:pPr>
                    <w:spacing w:before="0" w:after="0"/>
                    <w:jc w:val="both"/>
                    <w:rPr>
                      <w:rFonts w:eastAsia="Times New Roman"/>
                      <w:b/>
                      <w:i/>
                      <w:sz w:val="24"/>
                      <w:szCs w:val="24"/>
                      <w:lang w:val="it-IT"/>
                    </w:rPr>
                  </w:pPr>
                  <w:r w:rsidRPr="00EE15ED">
                    <w:rPr>
                      <w:rFonts w:eastAsia="Times New Roman"/>
                      <w:b/>
                      <w:i/>
                      <w:sz w:val="24"/>
                      <w:szCs w:val="24"/>
                      <w:lang w:val="it-IT"/>
                    </w:rPr>
                    <w:t>Nơi nhận:</w:t>
                  </w:r>
                </w:p>
                <w:p w:rsidR="00603244" w:rsidRPr="00EE15ED" w:rsidRDefault="00603244" w:rsidP="00603244">
                  <w:pPr>
                    <w:spacing w:before="0" w:after="0"/>
                    <w:jc w:val="both"/>
                    <w:rPr>
                      <w:rFonts w:eastAsia="Times New Roman"/>
                      <w:bCs/>
                      <w:sz w:val="22"/>
                      <w:szCs w:val="28"/>
                      <w:lang w:val="it-IT"/>
                    </w:rPr>
                  </w:pPr>
                  <w:r w:rsidRPr="00EE15ED">
                    <w:rPr>
                      <w:rFonts w:eastAsia="Times New Roman"/>
                      <w:bCs/>
                      <w:sz w:val="22"/>
                      <w:szCs w:val="28"/>
                      <w:lang w:val="it-IT"/>
                    </w:rPr>
                    <w:t>- Như trên;</w:t>
                  </w:r>
                </w:p>
                <w:p w:rsidR="00603244" w:rsidRPr="00EE15ED" w:rsidRDefault="00603244" w:rsidP="00603244">
                  <w:pPr>
                    <w:spacing w:before="0" w:after="0"/>
                    <w:jc w:val="both"/>
                    <w:rPr>
                      <w:rFonts w:eastAsia="Times New Roman"/>
                      <w:bCs/>
                      <w:sz w:val="22"/>
                      <w:szCs w:val="28"/>
                      <w:lang w:val="nl-NL"/>
                    </w:rPr>
                  </w:pPr>
                  <w:r w:rsidRPr="00EE15ED">
                    <w:rPr>
                      <w:rFonts w:eastAsia="Times New Roman"/>
                      <w:bCs/>
                      <w:sz w:val="22"/>
                      <w:szCs w:val="28"/>
                      <w:lang w:val="nl-NL"/>
                    </w:rPr>
                    <w:t>- Thủ tướng Chính phủ (để báo cáo);</w:t>
                  </w:r>
                </w:p>
                <w:p w:rsidR="00603244" w:rsidRPr="00EE15ED" w:rsidRDefault="00603244" w:rsidP="00603244">
                  <w:pPr>
                    <w:spacing w:before="0" w:after="0"/>
                    <w:jc w:val="both"/>
                    <w:rPr>
                      <w:rFonts w:eastAsia="Times New Roman"/>
                      <w:bCs/>
                      <w:sz w:val="22"/>
                      <w:szCs w:val="28"/>
                      <w:lang w:val="nl-NL"/>
                    </w:rPr>
                  </w:pPr>
                  <w:r w:rsidRPr="00EE15ED">
                    <w:rPr>
                      <w:rFonts w:eastAsia="Times New Roman"/>
                      <w:bCs/>
                      <w:sz w:val="22"/>
                      <w:szCs w:val="28"/>
                      <w:lang w:val="nl-NL"/>
                    </w:rPr>
                    <w:t>- Phó Thủ tướng Lê Minh Khái (để báo cáo);</w:t>
                  </w:r>
                </w:p>
                <w:p w:rsidR="00603244" w:rsidRPr="00EE15ED" w:rsidRDefault="00603244" w:rsidP="00603244">
                  <w:pPr>
                    <w:spacing w:before="0" w:after="0"/>
                    <w:jc w:val="both"/>
                    <w:rPr>
                      <w:rFonts w:eastAsia="Times New Roman"/>
                      <w:bCs/>
                      <w:sz w:val="22"/>
                      <w:szCs w:val="28"/>
                      <w:lang w:val="it-IT"/>
                    </w:rPr>
                  </w:pPr>
                  <w:r w:rsidRPr="00EE15ED">
                    <w:rPr>
                      <w:rFonts w:eastAsia="Times New Roman"/>
                      <w:bCs/>
                      <w:sz w:val="22"/>
                      <w:szCs w:val="28"/>
                      <w:lang w:val="it-IT"/>
                    </w:rPr>
                    <w:t xml:space="preserve">- Văn phòng Chính phủ (để phối hợp); </w:t>
                  </w:r>
                </w:p>
                <w:p w:rsidR="00603244" w:rsidRPr="00EE15ED" w:rsidRDefault="00603244" w:rsidP="00603244">
                  <w:pPr>
                    <w:spacing w:before="0" w:after="0"/>
                    <w:jc w:val="both"/>
                    <w:rPr>
                      <w:rFonts w:eastAsia="Times New Roman"/>
                      <w:bCs/>
                      <w:sz w:val="22"/>
                      <w:szCs w:val="28"/>
                      <w:lang w:val="it-IT"/>
                    </w:rPr>
                  </w:pPr>
                  <w:r w:rsidRPr="00EE15ED">
                    <w:rPr>
                      <w:rFonts w:eastAsia="Times New Roman"/>
                      <w:bCs/>
                      <w:sz w:val="22"/>
                      <w:szCs w:val="28"/>
                      <w:lang w:val="it-IT"/>
                    </w:rPr>
                    <w:t>- Bộ trưởng (để báo cáo);</w:t>
                  </w:r>
                </w:p>
                <w:p w:rsidR="008B5107" w:rsidRPr="00EE15ED" w:rsidRDefault="00603244" w:rsidP="00311BF5">
                  <w:pPr>
                    <w:spacing w:before="0" w:after="0"/>
                    <w:jc w:val="both"/>
                    <w:rPr>
                      <w:rFonts w:eastAsia="Times New Roman"/>
                      <w:b/>
                      <w:i/>
                      <w:sz w:val="23"/>
                      <w:szCs w:val="23"/>
                      <w:lang w:val="it-IT"/>
                    </w:rPr>
                  </w:pPr>
                  <w:r w:rsidRPr="00EE15ED">
                    <w:rPr>
                      <w:rFonts w:eastAsia="Times New Roman"/>
                      <w:bCs/>
                      <w:sz w:val="22"/>
                      <w:szCs w:val="28"/>
                      <w:lang w:val="it-IT"/>
                    </w:rPr>
                    <w:t>- Lưu: VT, CST (</w:t>
                  </w:r>
                  <w:r w:rsidR="00311BF5" w:rsidRPr="00EE15ED">
                    <w:rPr>
                      <w:rFonts w:eastAsia="Times New Roman"/>
                      <w:bCs/>
                      <w:sz w:val="22"/>
                      <w:szCs w:val="28"/>
                      <w:lang w:val="it-IT"/>
                    </w:rPr>
                    <w:t>GTGT</w:t>
                  </w:r>
                  <w:r w:rsidRPr="00EE15ED">
                    <w:rPr>
                      <w:rFonts w:eastAsia="Times New Roman"/>
                      <w:bCs/>
                      <w:sz w:val="22"/>
                      <w:szCs w:val="28"/>
                      <w:lang w:val="it-IT"/>
                    </w:rPr>
                    <w:t>).</w:t>
                  </w:r>
                </w:p>
              </w:tc>
              <w:tc>
                <w:tcPr>
                  <w:tcW w:w="4556" w:type="dxa"/>
                </w:tcPr>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KT. BỘ TRƯỞNG</w:t>
                  </w:r>
                </w:p>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THỨ TRƯỞNG</w:t>
                  </w:r>
                </w:p>
                <w:p w:rsidR="008B5107" w:rsidRPr="00EE15ED" w:rsidRDefault="008B5107" w:rsidP="004C2F3B">
                  <w:pPr>
                    <w:spacing w:before="0" w:after="0"/>
                    <w:jc w:val="center"/>
                    <w:rPr>
                      <w:rFonts w:eastAsia="Times New Roman"/>
                      <w:b/>
                      <w:bCs/>
                      <w:sz w:val="26"/>
                      <w:szCs w:val="26"/>
                      <w:lang w:val="it-IT"/>
                    </w:rPr>
                  </w:pPr>
                </w:p>
                <w:p w:rsidR="008B5107" w:rsidRPr="00EE15ED" w:rsidRDefault="008B5107" w:rsidP="004C2F3B">
                  <w:pPr>
                    <w:spacing w:before="0" w:after="0"/>
                    <w:jc w:val="center"/>
                    <w:rPr>
                      <w:rFonts w:eastAsia="Times New Roman"/>
                      <w:b/>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jc w:val="center"/>
                    <w:rPr>
                      <w:rFonts w:eastAsia="Times New Roman"/>
                      <w:b/>
                      <w:szCs w:val="28"/>
                      <w:lang w:val="it-IT"/>
                    </w:rPr>
                  </w:pPr>
                </w:p>
                <w:p w:rsidR="008B5107" w:rsidRPr="00EE15ED" w:rsidRDefault="008B5107" w:rsidP="004C2F3B">
                  <w:pPr>
                    <w:spacing w:before="0" w:after="0"/>
                    <w:jc w:val="center"/>
                    <w:rPr>
                      <w:rFonts w:eastAsia="Times New Roman"/>
                      <w:b/>
                      <w:szCs w:val="28"/>
                      <w:lang w:val="it-IT"/>
                    </w:rPr>
                  </w:pPr>
                  <w:r w:rsidRPr="00EE15ED">
                    <w:rPr>
                      <w:rFonts w:eastAsia="Times New Roman"/>
                      <w:b/>
                      <w:szCs w:val="28"/>
                      <w:lang w:val="it-IT"/>
                    </w:rPr>
                    <w:t>Cao Anh Tuấn</w:t>
                  </w:r>
                </w:p>
              </w:tc>
            </w:tr>
          </w:tbl>
          <w:p w:rsidR="008B5107" w:rsidRPr="00EE15ED" w:rsidRDefault="008B5107"/>
        </w:tc>
        <w:tc>
          <w:tcPr>
            <w:tcW w:w="10000" w:type="dxa"/>
            <w:shd w:val="clear" w:color="auto" w:fill="FFFFFF"/>
            <w:tcMar>
              <w:top w:w="0" w:type="dxa"/>
              <w:left w:w="108" w:type="dxa"/>
              <w:bottom w:w="0" w:type="dxa"/>
              <w:right w:w="108" w:type="dxa"/>
            </w:tcMar>
            <w:hideMark/>
          </w:tcPr>
          <w:tbl>
            <w:tblPr>
              <w:tblW w:w="9630" w:type="dxa"/>
              <w:tblInd w:w="108" w:type="dxa"/>
              <w:tblLook w:val="0000"/>
            </w:tblPr>
            <w:tblGrid>
              <w:gridCol w:w="4395"/>
              <w:gridCol w:w="5235"/>
            </w:tblGrid>
            <w:tr w:rsidR="008B5107" w:rsidRPr="005C11B5" w:rsidTr="004C2F3B">
              <w:trPr>
                <w:trHeight w:val="1259"/>
              </w:trPr>
              <w:tc>
                <w:tcPr>
                  <w:tcW w:w="4395" w:type="dxa"/>
                </w:tcPr>
                <w:p w:rsidR="008B5107" w:rsidRPr="00EE15ED" w:rsidRDefault="008B5107" w:rsidP="004C2F3B">
                  <w:pPr>
                    <w:spacing w:before="0" w:after="0"/>
                    <w:jc w:val="both"/>
                    <w:rPr>
                      <w:rFonts w:eastAsia="Times New Roman"/>
                      <w:b/>
                      <w:i/>
                      <w:sz w:val="24"/>
                      <w:szCs w:val="24"/>
                      <w:lang w:val="it-IT"/>
                    </w:rPr>
                  </w:pPr>
                  <w:r w:rsidRPr="00EE15ED">
                    <w:rPr>
                      <w:rFonts w:eastAsia="Times New Roman"/>
                      <w:b/>
                      <w:i/>
                      <w:sz w:val="24"/>
                      <w:szCs w:val="24"/>
                      <w:lang w:val="it-IT"/>
                    </w:rPr>
                    <w:t>Nơi nhận: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Như trên;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Thủ tướng Chính phủ, Phó Thủ tướng Lê Minh Khái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Bộ trưởng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Văn phòng Trung ương Đảng (để báo cáo Bộ Chính trị);</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xml:space="preserve">- Văn phòng Chính phủ (để phối hợp); </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Các đơn vị: TCT, PC, TCHQ;</w:t>
                  </w:r>
                </w:p>
                <w:p w:rsidR="008B5107" w:rsidRPr="00EE15ED" w:rsidRDefault="008B5107" w:rsidP="004C2F3B">
                  <w:pPr>
                    <w:spacing w:before="0" w:after="0"/>
                    <w:jc w:val="both"/>
                    <w:rPr>
                      <w:rFonts w:eastAsia="Times New Roman"/>
                      <w:b/>
                      <w:i/>
                      <w:sz w:val="23"/>
                      <w:szCs w:val="23"/>
                      <w:lang w:val="it-IT"/>
                    </w:rPr>
                  </w:pPr>
                  <w:r w:rsidRPr="00EE15ED">
                    <w:rPr>
                      <w:rFonts w:eastAsia="Times New Roman"/>
                      <w:bCs/>
                      <w:sz w:val="22"/>
                      <w:szCs w:val="28"/>
                      <w:lang w:val="it-IT"/>
                    </w:rPr>
                    <w:t>- Lưu: VT, CST(P2).</w:t>
                  </w:r>
                </w:p>
              </w:tc>
              <w:tc>
                <w:tcPr>
                  <w:tcW w:w="5235" w:type="dxa"/>
                </w:tcPr>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KT. BỘ TRƯỞNG</w:t>
                  </w:r>
                </w:p>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THỨ TRƯỞNG</w:t>
                  </w:r>
                </w:p>
                <w:p w:rsidR="008B5107" w:rsidRPr="00EE15ED" w:rsidRDefault="008B5107" w:rsidP="004C2F3B">
                  <w:pPr>
                    <w:spacing w:before="0" w:after="0"/>
                    <w:jc w:val="center"/>
                    <w:rPr>
                      <w:rFonts w:eastAsia="Times New Roman"/>
                      <w:b/>
                      <w:bCs/>
                      <w:sz w:val="26"/>
                      <w:szCs w:val="26"/>
                      <w:lang w:val="it-IT"/>
                    </w:rPr>
                  </w:pPr>
                </w:p>
                <w:p w:rsidR="008B5107" w:rsidRPr="00EE15ED" w:rsidRDefault="008B5107" w:rsidP="004C2F3B">
                  <w:pPr>
                    <w:spacing w:before="0" w:after="0"/>
                    <w:jc w:val="center"/>
                    <w:rPr>
                      <w:rFonts w:eastAsia="Times New Roman"/>
                      <w:b/>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jc w:val="center"/>
                    <w:rPr>
                      <w:rFonts w:eastAsia="Times New Roman"/>
                      <w:b/>
                      <w:szCs w:val="28"/>
                      <w:lang w:val="it-IT"/>
                    </w:rPr>
                  </w:pPr>
                </w:p>
                <w:p w:rsidR="008B5107" w:rsidRPr="00D40A08" w:rsidRDefault="008B5107" w:rsidP="004C2F3B">
                  <w:pPr>
                    <w:spacing w:before="0" w:after="0"/>
                    <w:jc w:val="center"/>
                    <w:rPr>
                      <w:rFonts w:eastAsia="Times New Roman"/>
                      <w:b/>
                      <w:szCs w:val="28"/>
                      <w:lang w:val="it-IT"/>
                    </w:rPr>
                  </w:pPr>
                  <w:r w:rsidRPr="00EE15ED">
                    <w:rPr>
                      <w:rFonts w:eastAsia="Times New Roman"/>
                      <w:b/>
                      <w:szCs w:val="28"/>
                      <w:lang w:val="it-IT"/>
                    </w:rPr>
                    <w:t>Võ Thành Hưng</w:t>
                  </w:r>
                </w:p>
              </w:tc>
            </w:tr>
          </w:tbl>
          <w:p w:rsidR="008B5107" w:rsidRPr="005C11B5" w:rsidRDefault="008B5107"/>
        </w:tc>
      </w:tr>
    </w:tbl>
    <w:p w:rsidR="00232766" w:rsidRPr="00B1221B" w:rsidRDefault="00232766" w:rsidP="00D22A69">
      <w:pPr>
        <w:spacing w:before="0" w:after="0"/>
        <w:jc w:val="both"/>
        <w:rPr>
          <w:rFonts w:eastAsia="Times New Roman"/>
          <w:i/>
          <w:szCs w:val="28"/>
          <w:lang w:val="en-US"/>
        </w:rPr>
      </w:pPr>
    </w:p>
    <w:sectPr w:rsidR="00232766" w:rsidRPr="00B1221B" w:rsidSect="009E04CD">
      <w:headerReference w:type="default" r:id="rId8"/>
      <w:pgSz w:w="11906" w:h="16838" w:code="9"/>
      <w:pgMar w:top="1021" w:right="1304" w:bottom="1021" w:left="1588"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483" w:rsidRDefault="00F86483" w:rsidP="00304222">
      <w:pPr>
        <w:spacing w:before="0" w:after="0"/>
      </w:pPr>
      <w:r>
        <w:separator/>
      </w:r>
    </w:p>
  </w:endnote>
  <w:endnote w:type="continuationSeparator" w:id="1">
    <w:p w:rsidR="00F86483" w:rsidRDefault="00F86483" w:rsidP="003042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483" w:rsidRDefault="00F86483" w:rsidP="00304222">
      <w:pPr>
        <w:spacing w:before="0" w:after="0"/>
      </w:pPr>
      <w:r>
        <w:separator/>
      </w:r>
    </w:p>
  </w:footnote>
  <w:footnote w:type="continuationSeparator" w:id="1">
    <w:p w:rsidR="00F86483" w:rsidRDefault="00F86483" w:rsidP="0030422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E2" w:rsidRDefault="00300F33">
    <w:pPr>
      <w:pStyle w:val="Header"/>
      <w:jc w:val="center"/>
    </w:pPr>
    <w:r w:rsidRPr="00471089">
      <w:rPr>
        <w:sz w:val="24"/>
        <w:szCs w:val="24"/>
      </w:rPr>
      <w:fldChar w:fldCharType="begin"/>
    </w:r>
    <w:r w:rsidR="008642E2" w:rsidRPr="00471089">
      <w:rPr>
        <w:sz w:val="24"/>
        <w:szCs w:val="24"/>
      </w:rPr>
      <w:instrText xml:space="preserve"> PAGE   \* MERGEFORMAT </w:instrText>
    </w:r>
    <w:r w:rsidRPr="00471089">
      <w:rPr>
        <w:sz w:val="24"/>
        <w:szCs w:val="24"/>
      </w:rPr>
      <w:fldChar w:fldCharType="separate"/>
    </w:r>
    <w:r w:rsidR="00CB02CD">
      <w:rPr>
        <w:noProof/>
        <w:sz w:val="24"/>
        <w:szCs w:val="24"/>
      </w:rPr>
      <w:t>2</w:t>
    </w:r>
    <w:r w:rsidRPr="00471089">
      <w:rPr>
        <w:sz w:val="24"/>
        <w:szCs w:val="24"/>
      </w:rPr>
      <w:fldChar w:fldCharType="end"/>
    </w:r>
  </w:p>
  <w:p w:rsidR="008642E2" w:rsidRDefault="008642E2" w:rsidP="00592DBD">
    <w:pPr>
      <w:pStyle w:val="Header"/>
      <w:tabs>
        <w:tab w:val="clear" w:pos="4513"/>
        <w:tab w:val="clear" w:pos="9026"/>
        <w:tab w:val="left" w:pos="27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DA0"/>
    <w:multiLevelType w:val="hybridMultilevel"/>
    <w:tmpl w:val="8B80112A"/>
    <w:lvl w:ilvl="0" w:tplc="B2FC25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31B41000"/>
    <w:multiLevelType w:val="hybridMultilevel"/>
    <w:tmpl w:val="2618B878"/>
    <w:lvl w:ilvl="0" w:tplc="8B023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8FC54C1"/>
    <w:multiLevelType w:val="hybridMultilevel"/>
    <w:tmpl w:val="35D0F0A4"/>
    <w:lvl w:ilvl="0" w:tplc="04F4518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40"/>
  <w:drawingGridVerticalSpacing w:val="381"/>
  <w:displayHorizontalDrawingGridEvery w:val="2"/>
  <w:characterSpacingControl w:val="doNotCompress"/>
  <w:hdrShapeDefaults>
    <o:shapedefaults v:ext="edit" spidmax="115713"/>
  </w:hdrShapeDefaults>
  <w:footnotePr>
    <w:footnote w:id="0"/>
    <w:footnote w:id="1"/>
  </w:footnotePr>
  <w:endnotePr>
    <w:endnote w:id="0"/>
    <w:endnote w:id="1"/>
  </w:endnotePr>
  <w:compat/>
  <w:rsids>
    <w:rsidRoot w:val="005270A8"/>
    <w:rsid w:val="00001138"/>
    <w:rsid w:val="000037BC"/>
    <w:rsid w:val="000049F8"/>
    <w:rsid w:val="000076E1"/>
    <w:rsid w:val="000105E5"/>
    <w:rsid w:val="00011180"/>
    <w:rsid w:val="0001438A"/>
    <w:rsid w:val="00017298"/>
    <w:rsid w:val="00022E54"/>
    <w:rsid w:val="00022F21"/>
    <w:rsid w:val="00023643"/>
    <w:rsid w:val="00034456"/>
    <w:rsid w:val="00035559"/>
    <w:rsid w:val="00036EAE"/>
    <w:rsid w:val="00041282"/>
    <w:rsid w:val="00041B64"/>
    <w:rsid w:val="00043F36"/>
    <w:rsid w:val="000478B5"/>
    <w:rsid w:val="000509A3"/>
    <w:rsid w:val="0006200C"/>
    <w:rsid w:val="00062279"/>
    <w:rsid w:val="00062785"/>
    <w:rsid w:val="00064893"/>
    <w:rsid w:val="0006711E"/>
    <w:rsid w:val="00074522"/>
    <w:rsid w:val="00081D82"/>
    <w:rsid w:val="00091B26"/>
    <w:rsid w:val="000964C4"/>
    <w:rsid w:val="000970AE"/>
    <w:rsid w:val="000A1781"/>
    <w:rsid w:val="000A3363"/>
    <w:rsid w:val="000A35F8"/>
    <w:rsid w:val="000A5B34"/>
    <w:rsid w:val="000A5E99"/>
    <w:rsid w:val="000A7523"/>
    <w:rsid w:val="000B1B8A"/>
    <w:rsid w:val="000B78AA"/>
    <w:rsid w:val="000C0D47"/>
    <w:rsid w:val="000C7DF8"/>
    <w:rsid w:val="000D49BA"/>
    <w:rsid w:val="000D7D65"/>
    <w:rsid w:val="000E15F6"/>
    <w:rsid w:val="000E1FFC"/>
    <w:rsid w:val="000E5E6D"/>
    <w:rsid w:val="000F47B7"/>
    <w:rsid w:val="000F7973"/>
    <w:rsid w:val="001032A2"/>
    <w:rsid w:val="001066AD"/>
    <w:rsid w:val="0010737B"/>
    <w:rsid w:val="00112C6C"/>
    <w:rsid w:val="001215DD"/>
    <w:rsid w:val="0012430A"/>
    <w:rsid w:val="001273F6"/>
    <w:rsid w:val="00127C88"/>
    <w:rsid w:val="00133760"/>
    <w:rsid w:val="001374A2"/>
    <w:rsid w:val="001410CD"/>
    <w:rsid w:val="0014238C"/>
    <w:rsid w:val="00142FC2"/>
    <w:rsid w:val="00144EAC"/>
    <w:rsid w:val="001473BD"/>
    <w:rsid w:val="00155B7C"/>
    <w:rsid w:val="0015697F"/>
    <w:rsid w:val="00164595"/>
    <w:rsid w:val="00165955"/>
    <w:rsid w:val="00166B36"/>
    <w:rsid w:val="00167294"/>
    <w:rsid w:val="001720DF"/>
    <w:rsid w:val="001724DF"/>
    <w:rsid w:val="001736B5"/>
    <w:rsid w:val="00182344"/>
    <w:rsid w:val="00183239"/>
    <w:rsid w:val="001914DE"/>
    <w:rsid w:val="001A00D9"/>
    <w:rsid w:val="001A0142"/>
    <w:rsid w:val="001A3B2E"/>
    <w:rsid w:val="001A699E"/>
    <w:rsid w:val="001A7B4D"/>
    <w:rsid w:val="001B0099"/>
    <w:rsid w:val="001B3AE8"/>
    <w:rsid w:val="001D0C09"/>
    <w:rsid w:val="001D329A"/>
    <w:rsid w:val="001D3335"/>
    <w:rsid w:val="001D4EC0"/>
    <w:rsid w:val="001D590B"/>
    <w:rsid w:val="001D6D09"/>
    <w:rsid w:val="001D793C"/>
    <w:rsid w:val="001E0DCD"/>
    <w:rsid w:val="001E22A6"/>
    <w:rsid w:val="001E2A6D"/>
    <w:rsid w:val="001E5BAB"/>
    <w:rsid w:val="001E7B03"/>
    <w:rsid w:val="001F3DED"/>
    <w:rsid w:val="001F4129"/>
    <w:rsid w:val="001F6001"/>
    <w:rsid w:val="001F77E6"/>
    <w:rsid w:val="001F7EB8"/>
    <w:rsid w:val="00201037"/>
    <w:rsid w:val="002029AB"/>
    <w:rsid w:val="00203F69"/>
    <w:rsid w:val="002043AF"/>
    <w:rsid w:val="002108F2"/>
    <w:rsid w:val="00213480"/>
    <w:rsid w:val="002137DE"/>
    <w:rsid w:val="00217D0A"/>
    <w:rsid w:val="00221DCE"/>
    <w:rsid w:val="00222A1F"/>
    <w:rsid w:val="0022751E"/>
    <w:rsid w:val="0023181C"/>
    <w:rsid w:val="002323C3"/>
    <w:rsid w:val="002326A4"/>
    <w:rsid w:val="00232749"/>
    <w:rsid w:val="00232766"/>
    <w:rsid w:val="002329B0"/>
    <w:rsid w:val="0023481E"/>
    <w:rsid w:val="00237152"/>
    <w:rsid w:val="00242E2C"/>
    <w:rsid w:val="00243755"/>
    <w:rsid w:val="002509DD"/>
    <w:rsid w:val="00260966"/>
    <w:rsid w:val="002634D9"/>
    <w:rsid w:val="002678AB"/>
    <w:rsid w:val="0027022F"/>
    <w:rsid w:val="0027048D"/>
    <w:rsid w:val="00270E13"/>
    <w:rsid w:val="00272430"/>
    <w:rsid w:val="002735DD"/>
    <w:rsid w:val="0027644D"/>
    <w:rsid w:val="0027693A"/>
    <w:rsid w:val="00284CF1"/>
    <w:rsid w:val="0029125B"/>
    <w:rsid w:val="00297BFE"/>
    <w:rsid w:val="002B0EA7"/>
    <w:rsid w:val="002B7E0A"/>
    <w:rsid w:val="002C3188"/>
    <w:rsid w:val="002C6A16"/>
    <w:rsid w:val="002D2B17"/>
    <w:rsid w:val="002D3162"/>
    <w:rsid w:val="002D764F"/>
    <w:rsid w:val="002E0D1D"/>
    <w:rsid w:val="002E1D23"/>
    <w:rsid w:val="002E20EE"/>
    <w:rsid w:val="002F16F8"/>
    <w:rsid w:val="002F1C75"/>
    <w:rsid w:val="002F1E8F"/>
    <w:rsid w:val="002F22BF"/>
    <w:rsid w:val="002F7103"/>
    <w:rsid w:val="00300366"/>
    <w:rsid w:val="00300F33"/>
    <w:rsid w:val="003013CD"/>
    <w:rsid w:val="00304222"/>
    <w:rsid w:val="00311641"/>
    <w:rsid w:val="00311BF5"/>
    <w:rsid w:val="00314C77"/>
    <w:rsid w:val="00317318"/>
    <w:rsid w:val="003265B5"/>
    <w:rsid w:val="00326FCF"/>
    <w:rsid w:val="003271A7"/>
    <w:rsid w:val="003324BE"/>
    <w:rsid w:val="003348DF"/>
    <w:rsid w:val="0033645D"/>
    <w:rsid w:val="00343D5A"/>
    <w:rsid w:val="00345E4D"/>
    <w:rsid w:val="0035363F"/>
    <w:rsid w:val="00353A20"/>
    <w:rsid w:val="003540BE"/>
    <w:rsid w:val="00363123"/>
    <w:rsid w:val="00366797"/>
    <w:rsid w:val="00367D51"/>
    <w:rsid w:val="00370A12"/>
    <w:rsid w:val="0037546F"/>
    <w:rsid w:val="00383E5A"/>
    <w:rsid w:val="003878D9"/>
    <w:rsid w:val="003935A3"/>
    <w:rsid w:val="00397853"/>
    <w:rsid w:val="003A1F28"/>
    <w:rsid w:val="003A372A"/>
    <w:rsid w:val="003A676D"/>
    <w:rsid w:val="003B2119"/>
    <w:rsid w:val="003C0CC0"/>
    <w:rsid w:val="003C2EEB"/>
    <w:rsid w:val="003C3800"/>
    <w:rsid w:val="003C4DFE"/>
    <w:rsid w:val="003C5E35"/>
    <w:rsid w:val="003D1CE6"/>
    <w:rsid w:val="003D2D65"/>
    <w:rsid w:val="003D4D5C"/>
    <w:rsid w:val="003D61E6"/>
    <w:rsid w:val="003E0E4D"/>
    <w:rsid w:val="003E19BA"/>
    <w:rsid w:val="003E19CF"/>
    <w:rsid w:val="003E5D61"/>
    <w:rsid w:val="003F0564"/>
    <w:rsid w:val="003F3E72"/>
    <w:rsid w:val="003F71C1"/>
    <w:rsid w:val="00401B9D"/>
    <w:rsid w:val="004061D5"/>
    <w:rsid w:val="00422EAD"/>
    <w:rsid w:val="00425A06"/>
    <w:rsid w:val="0043194E"/>
    <w:rsid w:val="00434F05"/>
    <w:rsid w:val="004366AC"/>
    <w:rsid w:val="00440289"/>
    <w:rsid w:val="00440FF6"/>
    <w:rsid w:val="00442614"/>
    <w:rsid w:val="00443D1B"/>
    <w:rsid w:val="00446CC7"/>
    <w:rsid w:val="00456972"/>
    <w:rsid w:val="00457CCF"/>
    <w:rsid w:val="004627D6"/>
    <w:rsid w:val="00465871"/>
    <w:rsid w:val="00471089"/>
    <w:rsid w:val="00471384"/>
    <w:rsid w:val="00471980"/>
    <w:rsid w:val="004744B1"/>
    <w:rsid w:val="00475162"/>
    <w:rsid w:val="00487E2C"/>
    <w:rsid w:val="004A20CB"/>
    <w:rsid w:val="004A4C46"/>
    <w:rsid w:val="004A556D"/>
    <w:rsid w:val="004A58FF"/>
    <w:rsid w:val="004B66F5"/>
    <w:rsid w:val="004B6A8F"/>
    <w:rsid w:val="004B7C8B"/>
    <w:rsid w:val="004B7FF7"/>
    <w:rsid w:val="004C07B4"/>
    <w:rsid w:val="004C17E6"/>
    <w:rsid w:val="004C2BFC"/>
    <w:rsid w:val="004C2F3B"/>
    <w:rsid w:val="004C6815"/>
    <w:rsid w:val="004D6BAF"/>
    <w:rsid w:val="004E07A2"/>
    <w:rsid w:val="004E1D48"/>
    <w:rsid w:val="004E215A"/>
    <w:rsid w:val="004E4CE0"/>
    <w:rsid w:val="004E75E0"/>
    <w:rsid w:val="004E7FC1"/>
    <w:rsid w:val="004F4DD0"/>
    <w:rsid w:val="004F673E"/>
    <w:rsid w:val="00501565"/>
    <w:rsid w:val="005056E7"/>
    <w:rsid w:val="005073DA"/>
    <w:rsid w:val="00507F96"/>
    <w:rsid w:val="005121D8"/>
    <w:rsid w:val="00512A44"/>
    <w:rsid w:val="00513281"/>
    <w:rsid w:val="005147B9"/>
    <w:rsid w:val="00520049"/>
    <w:rsid w:val="00520F0A"/>
    <w:rsid w:val="00522EFE"/>
    <w:rsid w:val="00525DF5"/>
    <w:rsid w:val="0052647F"/>
    <w:rsid w:val="005270A8"/>
    <w:rsid w:val="00532B97"/>
    <w:rsid w:val="005339B9"/>
    <w:rsid w:val="00533AD0"/>
    <w:rsid w:val="0053448C"/>
    <w:rsid w:val="00541C18"/>
    <w:rsid w:val="00543262"/>
    <w:rsid w:val="00547DCA"/>
    <w:rsid w:val="00550771"/>
    <w:rsid w:val="005521EB"/>
    <w:rsid w:val="005565D4"/>
    <w:rsid w:val="00557FE5"/>
    <w:rsid w:val="00560202"/>
    <w:rsid w:val="00564B21"/>
    <w:rsid w:val="00565E18"/>
    <w:rsid w:val="00567BEC"/>
    <w:rsid w:val="0057014A"/>
    <w:rsid w:val="00573391"/>
    <w:rsid w:val="00575171"/>
    <w:rsid w:val="00576715"/>
    <w:rsid w:val="00582B7F"/>
    <w:rsid w:val="00583AA4"/>
    <w:rsid w:val="00586E8A"/>
    <w:rsid w:val="00592859"/>
    <w:rsid w:val="00592D8E"/>
    <w:rsid w:val="00592DBD"/>
    <w:rsid w:val="00593909"/>
    <w:rsid w:val="0059768E"/>
    <w:rsid w:val="005A0737"/>
    <w:rsid w:val="005A1588"/>
    <w:rsid w:val="005A1C14"/>
    <w:rsid w:val="005A2FB1"/>
    <w:rsid w:val="005A5891"/>
    <w:rsid w:val="005B2F37"/>
    <w:rsid w:val="005B34D6"/>
    <w:rsid w:val="005C11B5"/>
    <w:rsid w:val="005C1278"/>
    <w:rsid w:val="005C2839"/>
    <w:rsid w:val="005C3E16"/>
    <w:rsid w:val="005C5383"/>
    <w:rsid w:val="005C793A"/>
    <w:rsid w:val="005D2F89"/>
    <w:rsid w:val="005D42F8"/>
    <w:rsid w:val="005D67BA"/>
    <w:rsid w:val="005E4BE2"/>
    <w:rsid w:val="005F170D"/>
    <w:rsid w:val="00600359"/>
    <w:rsid w:val="00602CDA"/>
    <w:rsid w:val="00603244"/>
    <w:rsid w:val="0060531D"/>
    <w:rsid w:val="00605983"/>
    <w:rsid w:val="006132E5"/>
    <w:rsid w:val="00616AD2"/>
    <w:rsid w:val="006204CB"/>
    <w:rsid w:val="0062085C"/>
    <w:rsid w:val="00621E25"/>
    <w:rsid w:val="00626453"/>
    <w:rsid w:val="00626CBC"/>
    <w:rsid w:val="006406D1"/>
    <w:rsid w:val="00640B7C"/>
    <w:rsid w:val="0064459C"/>
    <w:rsid w:val="00650A00"/>
    <w:rsid w:val="00654203"/>
    <w:rsid w:val="00656037"/>
    <w:rsid w:val="00656E96"/>
    <w:rsid w:val="006619E4"/>
    <w:rsid w:val="006626C7"/>
    <w:rsid w:val="00663F63"/>
    <w:rsid w:val="0066465C"/>
    <w:rsid w:val="006672B7"/>
    <w:rsid w:val="00671A6B"/>
    <w:rsid w:val="006778B8"/>
    <w:rsid w:val="00681459"/>
    <w:rsid w:val="006816A0"/>
    <w:rsid w:val="00681ED6"/>
    <w:rsid w:val="00683C4C"/>
    <w:rsid w:val="0068753E"/>
    <w:rsid w:val="006939CA"/>
    <w:rsid w:val="00693A59"/>
    <w:rsid w:val="00697B75"/>
    <w:rsid w:val="006A0849"/>
    <w:rsid w:val="006A281A"/>
    <w:rsid w:val="006A6292"/>
    <w:rsid w:val="006A7FCC"/>
    <w:rsid w:val="006C315B"/>
    <w:rsid w:val="006C42E3"/>
    <w:rsid w:val="006C6102"/>
    <w:rsid w:val="006C6AD3"/>
    <w:rsid w:val="006D1539"/>
    <w:rsid w:val="006D2231"/>
    <w:rsid w:val="006D5EA1"/>
    <w:rsid w:val="006E3751"/>
    <w:rsid w:val="006E4D87"/>
    <w:rsid w:val="006E665F"/>
    <w:rsid w:val="006E7BDA"/>
    <w:rsid w:val="006F0823"/>
    <w:rsid w:val="006F3715"/>
    <w:rsid w:val="006F3C9B"/>
    <w:rsid w:val="006F66F2"/>
    <w:rsid w:val="006F6805"/>
    <w:rsid w:val="006F6A7A"/>
    <w:rsid w:val="00700FEF"/>
    <w:rsid w:val="00703BBA"/>
    <w:rsid w:val="00703C17"/>
    <w:rsid w:val="00706712"/>
    <w:rsid w:val="007079B9"/>
    <w:rsid w:val="00710D5F"/>
    <w:rsid w:val="00714BA8"/>
    <w:rsid w:val="00716A22"/>
    <w:rsid w:val="00721A0B"/>
    <w:rsid w:val="007232C1"/>
    <w:rsid w:val="0072480C"/>
    <w:rsid w:val="00725F4B"/>
    <w:rsid w:val="007277F9"/>
    <w:rsid w:val="007278A6"/>
    <w:rsid w:val="0073514B"/>
    <w:rsid w:val="00740515"/>
    <w:rsid w:val="00740DE6"/>
    <w:rsid w:val="007417E2"/>
    <w:rsid w:val="00742B23"/>
    <w:rsid w:val="007439F2"/>
    <w:rsid w:val="007441EC"/>
    <w:rsid w:val="007513EE"/>
    <w:rsid w:val="00756BE1"/>
    <w:rsid w:val="00756DC3"/>
    <w:rsid w:val="00757A33"/>
    <w:rsid w:val="007605ED"/>
    <w:rsid w:val="00762503"/>
    <w:rsid w:val="0076293F"/>
    <w:rsid w:val="007636FD"/>
    <w:rsid w:val="007700F2"/>
    <w:rsid w:val="00771F33"/>
    <w:rsid w:val="00780405"/>
    <w:rsid w:val="00797798"/>
    <w:rsid w:val="00797C0C"/>
    <w:rsid w:val="00797FC7"/>
    <w:rsid w:val="007A0A44"/>
    <w:rsid w:val="007A124C"/>
    <w:rsid w:val="007A3A10"/>
    <w:rsid w:val="007A4D29"/>
    <w:rsid w:val="007A7A71"/>
    <w:rsid w:val="007B2A6A"/>
    <w:rsid w:val="007B418B"/>
    <w:rsid w:val="007B4BF1"/>
    <w:rsid w:val="007B7CB5"/>
    <w:rsid w:val="007C10BC"/>
    <w:rsid w:val="007C13E7"/>
    <w:rsid w:val="007C38D0"/>
    <w:rsid w:val="007D43E5"/>
    <w:rsid w:val="007E09E9"/>
    <w:rsid w:val="007E0A8E"/>
    <w:rsid w:val="007E5F28"/>
    <w:rsid w:val="007E76F5"/>
    <w:rsid w:val="007F0516"/>
    <w:rsid w:val="007F24EF"/>
    <w:rsid w:val="007F4763"/>
    <w:rsid w:val="007F6752"/>
    <w:rsid w:val="00811A41"/>
    <w:rsid w:val="008151A4"/>
    <w:rsid w:val="008157A1"/>
    <w:rsid w:val="00816087"/>
    <w:rsid w:val="0082036B"/>
    <w:rsid w:val="00821A5E"/>
    <w:rsid w:val="00830089"/>
    <w:rsid w:val="00832887"/>
    <w:rsid w:val="008341FC"/>
    <w:rsid w:val="00835503"/>
    <w:rsid w:val="00837E99"/>
    <w:rsid w:val="008411AC"/>
    <w:rsid w:val="00841FFF"/>
    <w:rsid w:val="00845F3F"/>
    <w:rsid w:val="00847783"/>
    <w:rsid w:val="008511D1"/>
    <w:rsid w:val="008534BB"/>
    <w:rsid w:val="008571DD"/>
    <w:rsid w:val="00857EEC"/>
    <w:rsid w:val="00860C9A"/>
    <w:rsid w:val="008642E2"/>
    <w:rsid w:val="00864958"/>
    <w:rsid w:val="00864FD0"/>
    <w:rsid w:val="00866F93"/>
    <w:rsid w:val="008704B5"/>
    <w:rsid w:val="00872743"/>
    <w:rsid w:val="00873705"/>
    <w:rsid w:val="00873C7E"/>
    <w:rsid w:val="00874A4E"/>
    <w:rsid w:val="00875FC0"/>
    <w:rsid w:val="0087671D"/>
    <w:rsid w:val="00880808"/>
    <w:rsid w:val="0088525B"/>
    <w:rsid w:val="00892FB5"/>
    <w:rsid w:val="0089301A"/>
    <w:rsid w:val="008951DF"/>
    <w:rsid w:val="008973D5"/>
    <w:rsid w:val="008A46B9"/>
    <w:rsid w:val="008B0E8A"/>
    <w:rsid w:val="008B5107"/>
    <w:rsid w:val="008C4C98"/>
    <w:rsid w:val="008C67B0"/>
    <w:rsid w:val="008D2591"/>
    <w:rsid w:val="008D29E8"/>
    <w:rsid w:val="008D54EB"/>
    <w:rsid w:val="008E1CCD"/>
    <w:rsid w:val="008E49AC"/>
    <w:rsid w:val="008E62DC"/>
    <w:rsid w:val="008F4478"/>
    <w:rsid w:val="008F5DF0"/>
    <w:rsid w:val="008F684B"/>
    <w:rsid w:val="00901047"/>
    <w:rsid w:val="00902389"/>
    <w:rsid w:val="00904A70"/>
    <w:rsid w:val="00907D52"/>
    <w:rsid w:val="009153C6"/>
    <w:rsid w:val="009154B5"/>
    <w:rsid w:val="00917C3F"/>
    <w:rsid w:val="009210EE"/>
    <w:rsid w:val="0092203D"/>
    <w:rsid w:val="00922218"/>
    <w:rsid w:val="009247B5"/>
    <w:rsid w:val="00931577"/>
    <w:rsid w:val="00941D7B"/>
    <w:rsid w:val="00942CFB"/>
    <w:rsid w:val="0094418E"/>
    <w:rsid w:val="00950656"/>
    <w:rsid w:val="00955EE2"/>
    <w:rsid w:val="009566C7"/>
    <w:rsid w:val="00962C98"/>
    <w:rsid w:val="00962F1E"/>
    <w:rsid w:val="0096477D"/>
    <w:rsid w:val="00965A88"/>
    <w:rsid w:val="0097297E"/>
    <w:rsid w:val="00974C46"/>
    <w:rsid w:val="009757F2"/>
    <w:rsid w:val="00982905"/>
    <w:rsid w:val="00985730"/>
    <w:rsid w:val="0099460B"/>
    <w:rsid w:val="009A536A"/>
    <w:rsid w:val="009A608B"/>
    <w:rsid w:val="009C266E"/>
    <w:rsid w:val="009C4D3D"/>
    <w:rsid w:val="009C5629"/>
    <w:rsid w:val="009C703B"/>
    <w:rsid w:val="009C7B32"/>
    <w:rsid w:val="009D28D4"/>
    <w:rsid w:val="009E04CD"/>
    <w:rsid w:val="009E29BC"/>
    <w:rsid w:val="009E39B2"/>
    <w:rsid w:val="00A009AE"/>
    <w:rsid w:val="00A01879"/>
    <w:rsid w:val="00A06E79"/>
    <w:rsid w:val="00A07B09"/>
    <w:rsid w:val="00A120C3"/>
    <w:rsid w:val="00A12431"/>
    <w:rsid w:val="00A146BC"/>
    <w:rsid w:val="00A21434"/>
    <w:rsid w:val="00A217A3"/>
    <w:rsid w:val="00A21CBA"/>
    <w:rsid w:val="00A22A7F"/>
    <w:rsid w:val="00A2472B"/>
    <w:rsid w:val="00A25533"/>
    <w:rsid w:val="00A27F5E"/>
    <w:rsid w:val="00A323E8"/>
    <w:rsid w:val="00A34CFA"/>
    <w:rsid w:val="00A36EA3"/>
    <w:rsid w:val="00A370AA"/>
    <w:rsid w:val="00A37B27"/>
    <w:rsid w:val="00A404D3"/>
    <w:rsid w:val="00A44E5F"/>
    <w:rsid w:val="00A47149"/>
    <w:rsid w:val="00A51E73"/>
    <w:rsid w:val="00A52C7A"/>
    <w:rsid w:val="00A53497"/>
    <w:rsid w:val="00A56873"/>
    <w:rsid w:val="00A56BC2"/>
    <w:rsid w:val="00A6032E"/>
    <w:rsid w:val="00A6080B"/>
    <w:rsid w:val="00A614EB"/>
    <w:rsid w:val="00A618DA"/>
    <w:rsid w:val="00A61BA1"/>
    <w:rsid w:val="00A62539"/>
    <w:rsid w:val="00A65965"/>
    <w:rsid w:val="00A66B1B"/>
    <w:rsid w:val="00A6754E"/>
    <w:rsid w:val="00A80BA1"/>
    <w:rsid w:val="00A820BC"/>
    <w:rsid w:val="00A83984"/>
    <w:rsid w:val="00A83C27"/>
    <w:rsid w:val="00A84A94"/>
    <w:rsid w:val="00A85F9C"/>
    <w:rsid w:val="00A87DFE"/>
    <w:rsid w:val="00AA0E3D"/>
    <w:rsid w:val="00AA1344"/>
    <w:rsid w:val="00AA5A73"/>
    <w:rsid w:val="00AA62F7"/>
    <w:rsid w:val="00AA64B2"/>
    <w:rsid w:val="00AA7C33"/>
    <w:rsid w:val="00AB19F8"/>
    <w:rsid w:val="00AB2243"/>
    <w:rsid w:val="00AB2A20"/>
    <w:rsid w:val="00AC3B3F"/>
    <w:rsid w:val="00AD0B84"/>
    <w:rsid w:val="00AD5106"/>
    <w:rsid w:val="00AD7AC4"/>
    <w:rsid w:val="00AE0A9E"/>
    <w:rsid w:val="00AE24BB"/>
    <w:rsid w:val="00AE4987"/>
    <w:rsid w:val="00AF1459"/>
    <w:rsid w:val="00AF551A"/>
    <w:rsid w:val="00AF5E96"/>
    <w:rsid w:val="00AF7082"/>
    <w:rsid w:val="00B005A9"/>
    <w:rsid w:val="00B0291B"/>
    <w:rsid w:val="00B041D7"/>
    <w:rsid w:val="00B04EFA"/>
    <w:rsid w:val="00B05129"/>
    <w:rsid w:val="00B0522D"/>
    <w:rsid w:val="00B056F1"/>
    <w:rsid w:val="00B07E8E"/>
    <w:rsid w:val="00B101D8"/>
    <w:rsid w:val="00B1220F"/>
    <w:rsid w:val="00B1221B"/>
    <w:rsid w:val="00B1246E"/>
    <w:rsid w:val="00B1293B"/>
    <w:rsid w:val="00B140BC"/>
    <w:rsid w:val="00B1606A"/>
    <w:rsid w:val="00B16D1E"/>
    <w:rsid w:val="00B177CE"/>
    <w:rsid w:val="00B2228F"/>
    <w:rsid w:val="00B24974"/>
    <w:rsid w:val="00B346E1"/>
    <w:rsid w:val="00B47A0F"/>
    <w:rsid w:val="00B618DA"/>
    <w:rsid w:val="00B633FE"/>
    <w:rsid w:val="00B64802"/>
    <w:rsid w:val="00B650A4"/>
    <w:rsid w:val="00B6688C"/>
    <w:rsid w:val="00B66DA2"/>
    <w:rsid w:val="00B674D8"/>
    <w:rsid w:val="00B814B2"/>
    <w:rsid w:val="00B829CD"/>
    <w:rsid w:val="00B8491A"/>
    <w:rsid w:val="00B86856"/>
    <w:rsid w:val="00B86EFA"/>
    <w:rsid w:val="00B87F8A"/>
    <w:rsid w:val="00B92F5A"/>
    <w:rsid w:val="00B969DB"/>
    <w:rsid w:val="00B971FB"/>
    <w:rsid w:val="00BA1146"/>
    <w:rsid w:val="00BA4285"/>
    <w:rsid w:val="00BA765F"/>
    <w:rsid w:val="00BB112C"/>
    <w:rsid w:val="00BB1E70"/>
    <w:rsid w:val="00BB41C7"/>
    <w:rsid w:val="00BC0160"/>
    <w:rsid w:val="00BC06DC"/>
    <w:rsid w:val="00BC0EC3"/>
    <w:rsid w:val="00BC2805"/>
    <w:rsid w:val="00BC3F26"/>
    <w:rsid w:val="00BC4DD7"/>
    <w:rsid w:val="00BD0976"/>
    <w:rsid w:val="00BD49E9"/>
    <w:rsid w:val="00BE1E1C"/>
    <w:rsid w:val="00BE2CF2"/>
    <w:rsid w:val="00BE3057"/>
    <w:rsid w:val="00BE3C0E"/>
    <w:rsid w:val="00BF3B5A"/>
    <w:rsid w:val="00BF5D57"/>
    <w:rsid w:val="00C02FAA"/>
    <w:rsid w:val="00C06753"/>
    <w:rsid w:val="00C26469"/>
    <w:rsid w:val="00C2792B"/>
    <w:rsid w:val="00C32E94"/>
    <w:rsid w:val="00C35342"/>
    <w:rsid w:val="00C356E3"/>
    <w:rsid w:val="00C35C2E"/>
    <w:rsid w:val="00C379BE"/>
    <w:rsid w:val="00C4082F"/>
    <w:rsid w:val="00C41628"/>
    <w:rsid w:val="00C42442"/>
    <w:rsid w:val="00C4417D"/>
    <w:rsid w:val="00C466AF"/>
    <w:rsid w:val="00C46C77"/>
    <w:rsid w:val="00C50CBF"/>
    <w:rsid w:val="00C61007"/>
    <w:rsid w:val="00C62A6D"/>
    <w:rsid w:val="00C62FED"/>
    <w:rsid w:val="00C663D2"/>
    <w:rsid w:val="00C71B16"/>
    <w:rsid w:val="00C74DDA"/>
    <w:rsid w:val="00C77F2B"/>
    <w:rsid w:val="00C8118F"/>
    <w:rsid w:val="00C84B02"/>
    <w:rsid w:val="00C856C8"/>
    <w:rsid w:val="00C86795"/>
    <w:rsid w:val="00C91B73"/>
    <w:rsid w:val="00C93605"/>
    <w:rsid w:val="00C94EC9"/>
    <w:rsid w:val="00C95742"/>
    <w:rsid w:val="00C96C34"/>
    <w:rsid w:val="00CA147C"/>
    <w:rsid w:val="00CA38D3"/>
    <w:rsid w:val="00CA4373"/>
    <w:rsid w:val="00CA5B42"/>
    <w:rsid w:val="00CB02CD"/>
    <w:rsid w:val="00CB103E"/>
    <w:rsid w:val="00CB2DF6"/>
    <w:rsid w:val="00CB473D"/>
    <w:rsid w:val="00CB714F"/>
    <w:rsid w:val="00CC1B20"/>
    <w:rsid w:val="00CC4690"/>
    <w:rsid w:val="00CC5BA0"/>
    <w:rsid w:val="00CC5D9D"/>
    <w:rsid w:val="00CC742D"/>
    <w:rsid w:val="00CD09DC"/>
    <w:rsid w:val="00CD2758"/>
    <w:rsid w:val="00CD5DC8"/>
    <w:rsid w:val="00CD6BFA"/>
    <w:rsid w:val="00CE0629"/>
    <w:rsid w:val="00CE2C30"/>
    <w:rsid w:val="00CE32B1"/>
    <w:rsid w:val="00CE4CF2"/>
    <w:rsid w:val="00CE4FD0"/>
    <w:rsid w:val="00CE5EF0"/>
    <w:rsid w:val="00CE743C"/>
    <w:rsid w:val="00CF0783"/>
    <w:rsid w:val="00CF1409"/>
    <w:rsid w:val="00CF1A78"/>
    <w:rsid w:val="00CF4BF5"/>
    <w:rsid w:val="00D022D5"/>
    <w:rsid w:val="00D03B92"/>
    <w:rsid w:val="00D0648C"/>
    <w:rsid w:val="00D07188"/>
    <w:rsid w:val="00D071E0"/>
    <w:rsid w:val="00D1044C"/>
    <w:rsid w:val="00D15B2C"/>
    <w:rsid w:val="00D22A69"/>
    <w:rsid w:val="00D23B34"/>
    <w:rsid w:val="00D306DF"/>
    <w:rsid w:val="00D316BD"/>
    <w:rsid w:val="00D31CB7"/>
    <w:rsid w:val="00D3224F"/>
    <w:rsid w:val="00D32E5A"/>
    <w:rsid w:val="00D43DCD"/>
    <w:rsid w:val="00D44AF7"/>
    <w:rsid w:val="00D4558E"/>
    <w:rsid w:val="00D46BBD"/>
    <w:rsid w:val="00D50254"/>
    <w:rsid w:val="00D55EAB"/>
    <w:rsid w:val="00D601D5"/>
    <w:rsid w:val="00D609BB"/>
    <w:rsid w:val="00D63814"/>
    <w:rsid w:val="00D80276"/>
    <w:rsid w:val="00D82E02"/>
    <w:rsid w:val="00D8483C"/>
    <w:rsid w:val="00D8507F"/>
    <w:rsid w:val="00D93EBF"/>
    <w:rsid w:val="00DA59EF"/>
    <w:rsid w:val="00DA612E"/>
    <w:rsid w:val="00DB1C25"/>
    <w:rsid w:val="00DB239D"/>
    <w:rsid w:val="00DB5DFB"/>
    <w:rsid w:val="00DB76F4"/>
    <w:rsid w:val="00DC04F4"/>
    <w:rsid w:val="00DC15BA"/>
    <w:rsid w:val="00DC2937"/>
    <w:rsid w:val="00DC333D"/>
    <w:rsid w:val="00DC3DE2"/>
    <w:rsid w:val="00DC6A2A"/>
    <w:rsid w:val="00DC6B80"/>
    <w:rsid w:val="00DD7B7A"/>
    <w:rsid w:val="00DE1714"/>
    <w:rsid w:val="00DE1F95"/>
    <w:rsid w:val="00DE2616"/>
    <w:rsid w:val="00DE2B50"/>
    <w:rsid w:val="00DF744A"/>
    <w:rsid w:val="00DF7AEB"/>
    <w:rsid w:val="00E01542"/>
    <w:rsid w:val="00E03DF4"/>
    <w:rsid w:val="00E11C89"/>
    <w:rsid w:val="00E12749"/>
    <w:rsid w:val="00E20405"/>
    <w:rsid w:val="00E2251C"/>
    <w:rsid w:val="00E2495A"/>
    <w:rsid w:val="00E25576"/>
    <w:rsid w:val="00E26937"/>
    <w:rsid w:val="00E30840"/>
    <w:rsid w:val="00E30994"/>
    <w:rsid w:val="00E32E11"/>
    <w:rsid w:val="00E3648B"/>
    <w:rsid w:val="00E36933"/>
    <w:rsid w:val="00E401BB"/>
    <w:rsid w:val="00E42393"/>
    <w:rsid w:val="00E426C1"/>
    <w:rsid w:val="00E461B9"/>
    <w:rsid w:val="00E464C0"/>
    <w:rsid w:val="00E47201"/>
    <w:rsid w:val="00E5182B"/>
    <w:rsid w:val="00E51A7B"/>
    <w:rsid w:val="00E546B5"/>
    <w:rsid w:val="00E54DCB"/>
    <w:rsid w:val="00E57480"/>
    <w:rsid w:val="00E616A5"/>
    <w:rsid w:val="00E71741"/>
    <w:rsid w:val="00E73AFF"/>
    <w:rsid w:val="00E743AB"/>
    <w:rsid w:val="00E74F8E"/>
    <w:rsid w:val="00E76A71"/>
    <w:rsid w:val="00E81CD6"/>
    <w:rsid w:val="00E8288D"/>
    <w:rsid w:val="00E83044"/>
    <w:rsid w:val="00E830D7"/>
    <w:rsid w:val="00E85DA8"/>
    <w:rsid w:val="00E85F3E"/>
    <w:rsid w:val="00E8630E"/>
    <w:rsid w:val="00E92995"/>
    <w:rsid w:val="00E9353A"/>
    <w:rsid w:val="00E9464A"/>
    <w:rsid w:val="00E948B4"/>
    <w:rsid w:val="00E9583F"/>
    <w:rsid w:val="00E95C96"/>
    <w:rsid w:val="00EA30F3"/>
    <w:rsid w:val="00EA3431"/>
    <w:rsid w:val="00EA4F1A"/>
    <w:rsid w:val="00EA586E"/>
    <w:rsid w:val="00EA5DEA"/>
    <w:rsid w:val="00EB1502"/>
    <w:rsid w:val="00EB7D89"/>
    <w:rsid w:val="00EB7FDD"/>
    <w:rsid w:val="00EC00A3"/>
    <w:rsid w:val="00EE15ED"/>
    <w:rsid w:val="00EE42DA"/>
    <w:rsid w:val="00EE5FB8"/>
    <w:rsid w:val="00EF06E0"/>
    <w:rsid w:val="00EF3789"/>
    <w:rsid w:val="00EF3D5E"/>
    <w:rsid w:val="00EF5826"/>
    <w:rsid w:val="00EF5DCB"/>
    <w:rsid w:val="00EF736B"/>
    <w:rsid w:val="00F01FC5"/>
    <w:rsid w:val="00F04274"/>
    <w:rsid w:val="00F04831"/>
    <w:rsid w:val="00F058C5"/>
    <w:rsid w:val="00F11035"/>
    <w:rsid w:val="00F110F7"/>
    <w:rsid w:val="00F11814"/>
    <w:rsid w:val="00F21031"/>
    <w:rsid w:val="00F2410F"/>
    <w:rsid w:val="00F24251"/>
    <w:rsid w:val="00F278A7"/>
    <w:rsid w:val="00F31C45"/>
    <w:rsid w:val="00F409D8"/>
    <w:rsid w:val="00F42514"/>
    <w:rsid w:val="00F425E2"/>
    <w:rsid w:val="00F42ACE"/>
    <w:rsid w:val="00F44564"/>
    <w:rsid w:val="00F47D4C"/>
    <w:rsid w:val="00F56C67"/>
    <w:rsid w:val="00F56D41"/>
    <w:rsid w:val="00F64978"/>
    <w:rsid w:val="00F64FC9"/>
    <w:rsid w:val="00F7094E"/>
    <w:rsid w:val="00F7397D"/>
    <w:rsid w:val="00F76FB5"/>
    <w:rsid w:val="00F8225C"/>
    <w:rsid w:val="00F83023"/>
    <w:rsid w:val="00F853F1"/>
    <w:rsid w:val="00F86483"/>
    <w:rsid w:val="00F86DC4"/>
    <w:rsid w:val="00F90C89"/>
    <w:rsid w:val="00F91481"/>
    <w:rsid w:val="00F9289A"/>
    <w:rsid w:val="00F935C4"/>
    <w:rsid w:val="00F94042"/>
    <w:rsid w:val="00F95144"/>
    <w:rsid w:val="00FA2248"/>
    <w:rsid w:val="00FA5070"/>
    <w:rsid w:val="00FA53A1"/>
    <w:rsid w:val="00FB1D0A"/>
    <w:rsid w:val="00FB2ED5"/>
    <w:rsid w:val="00FB3341"/>
    <w:rsid w:val="00FB421D"/>
    <w:rsid w:val="00FB5E0C"/>
    <w:rsid w:val="00FB7D52"/>
    <w:rsid w:val="00FC3388"/>
    <w:rsid w:val="00FD5A5A"/>
    <w:rsid w:val="00FD609D"/>
    <w:rsid w:val="00FD6606"/>
    <w:rsid w:val="00FE11B1"/>
    <w:rsid w:val="00FE1B35"/>
    <w:rsid w:val="00FE1F7F"/>
    <w:rsid w:val="00FE39C3"/>
    <w:rsid w:val="00FE4018"/>
    <w:rsid w:val="00FF21F2"/>
    <w:rsid w:val="00FF4956"/>
    <w:rsid w:val="00FF5497"/>
    <w:rsid w:val="00FF6F01"/>
    <w:rsid w:val="00FF7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pPr>
      <w:spacing w:before="120" w:after="120"/>
    </w:pPr>
    <w:rPr>
      <w:sz w:val="28"/>
      <w:szCs w:val="22"/>
      <w:lang w:val="vi-VN"/>
    </w:rPr>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rPr>
      <w:rFonts w:ascii="Calibri" w:hAnsi="Calibr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sz w:val="20"/>
      <w:szCs w:val="20"/>
      <w:lang w:val="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nhideWhenUsed/>
    <w:qFormat/>
    <w:rsid w:val="003F3E72"/>
    <w:pPr>
      <w:spacing w:before="0"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3F3E72"/>
    <w:rPr>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noProof/>
      <w:sz w:val="24"/>
      <w:szCs w:val="24"/>
      <w:lang w:val="en-US"/>
    </w:rPr>
  </w:style>
  <w:style w:type="character" w:customStyle="1" w:styleId="Heading4Char">
    <w:name w:val="Heading 4 Char"/>
    <w:basedOn w:val="DefaultParagraphFont"/>
    <w:link w:val="Heading4"/>
    <w:uiPriority w:val="9"/>
    <w:semiHidden/>
    <w:rsid w:val="008411AC"/>
    <w:rPr>
      <w:rFonts w:ascii="Cambria" w:eastAsia="Times New Roman" w:hAnsi="Cambria" w:cs="Times New Roman"/>
      <w:b/>
      <w:bCs/>
      <w:i/>
      <w:iCs/>
      <w:color w:val="4F81BD"/>
    </w:rPr>
  </w:style>
  <w:style w:type="character" w:styleId="Hyperlink">
    <w:name w:val="Hyperlink"/>
    <w:basedOn w:val="DefaultParagraphFont"/>
    <w:uiPriority w:val="99"/>
    <w:unhideWhenUsed/>
    <w:rsid w:val="00B04EFA"/>
    <w:rPr>
      <w:color w:val="0000FF"/>
      <w:u w:val="single"/>
    </w:rPr>
  </w:style>
  <w:style w:type="paragraph" w:customStyle="1" w:styleId="phead">
    <w:name w:val="phead"/>
    <w:basedOn w:val="Normal"/>
    <w:rsid w:val="00064893"/>
    <w:pPr>
      <w:spacing w:before="100" w:beforeAutospacing="1" w:after="100" w:afterAutospacing="1"/>
    </w:pPr>
    <w:rPr>
      <w:rFonts w:eastAsia="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66B1B"/>
    <w:rPr>
      <w:rFonts w:cs="Times New Roman"/>
      <w:sz w:val="24"/>
      <w:szCs w:val="24"/>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BA1146"/>
    <w:pPr>
      <w:spacing w:before="0" w:after="0"/>
      <w:ind w:firstLine="851"/>
      <w:jc w:val="both"/>
    </w:pPr>
    <w:rPr>
      <w:rFonts w:ascii=".VnTime" w:eastAsia="Times New Roman" w:hAnsi=".VnTime"/>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BA1146"/>
    <w:rPr>
      <w:rFonts w:ascii=".VnTime" w:eastAsia="Times New Roman" w:hAnsi=".VnTime" w:cs="Times New Roman"/>
      <w:color w:val="0000FF"/>
      <w:sz w:val="26"/>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A0849"/>
    <w:pPr>
      <w:spacing w:before="0" w:after="160" w:line="240" w:lineRule="exact"/>
    </w:pPr>
    <w:rPr>
      <w:vertAlign w:val="superscript"/>
    </w:rPr>
  </w:style>
  <w:style w:type="paragraph" w:styleId="BodyText">
    <w:name w:val="Body Text"/>
    <w:basedOn w:val="Normal"/>
    <w:link w:val="BodyTextChar"/>
    <w:uiPriority w:val="99"/>
    <w:semiHidden/>
    <w:unhideWhenUsed/>
    <w:rsid w:val="006F6A7A"/>
  </w:style>
  <w:style w:type="character" w:customStyle="1" w:styleId="BodyTextChar">
    <w:name w:val="Body Text Char"/>
    <w:basedOn w:val="DefaultParagraphFont"/>
    <w:link w:val="BodyText"/>
    <w:uiPriority w:val="99"/>
    <w:semiHidden/>
    <w:rsid w:val="006F6A7A"/>
  </w:style>
</w:styles>
</file>

<file path=word/webSettings.xml><?xml version="1.0" encoding="utf-8"?>
<w:webSettings xmlns:r="http://schemas.openxmlformats.org/officeDocument/2006/relationships" xmlns:w="http://schemas.openxmlformats.org/wordprocessingml/2006/main">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189269191">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958418314">
      <w:bodyDiv w:val="1"/>
      <w:marLeft w:val="0"/>
      <w:marRight w:val="0"/>
      <w:marTop w:val="0"/>
      <w:marBottom w:val="0"/>
      <w:divBdr>
        <w:top w:val="none" w:sz="0" w:space="0" w:color="auto"/>
        <w:left w:val="none" w:sz="0" w:space="0" w:color="auto"/>
        <w:bottom w:val="none" w:sz="0" w:space="0" w:color="auto"/>
        <w:right w:val="none" w:sz="0" w:space="0" w:color="auto"/>
      </w:divBdr>
    </w:div>
    <w:div w:id="1239631074">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C2D28-E68D-4C21-85C2-9DD9A216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nguyentiencong</cp:lastModifiedBy>
  <cp:revision>9</cp:revision>
  <cp:lastPrinted>2024-05-20T04:24:00Z</cp:lastPrinted>
  <dcterms:created xsi:type="dcterms:W3CDTF">2024-05-20T01:43:00Z</dcterms:created>
  <dcterms:modified xsi:type="dcterms:W3CDTF">2024-05-20T04:36:00Z</dcterms:modified>
</cp:coreProperties>
</file>